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C5C77F" w14:textId="77777777" w:rsidR="004E7B56" w:rsidRDefault="009C5AB4">
      <w:pPr>
        <w:tabs>
          <w:tab w:val="left" w:pos="6804"/>
        </w:tabs>
        <w:spacing w:after="0"/>
        <w:rPr>
          <w:rFonts w:cs="Calibri"/>
          <w:b/>
          <w:smallCaps/>
          <w:sz w:val="32"/>
        </w:rPr>
      </w:pPr>
      <w:r>
        <w:tab/>
      </w:r>
    </w:p>
    <w:p w14:paraId="7882FD8B" w14:textId="77777777" w:rsidR="004E7B56" w:rsidRDefault="004E7B56">
      <w:pPr>
        <w:tabs>
          <w:tab w:val="left" w:pos="6804"/>
        </w:tabs>
        <w:spacing w:after="0"/>
        <w:jc w:val="center"/>
        <w:rPr>
          <w:rFonts w:cs="Calibri"/>
          <w:b/>
          <w:smallCaps/>
          <w:sz w:val="32"/>
        </w:rPr>
      </w:pPr>
    </w:p>
    <w:p w14:paraId="5445B65B" w14:textId="77777777" w:rsidR="004E7B56" w:rsidRDefault="009C5AB4">
      <w:pPr>
        <w:tabs>
          <w:tab w:val="left" w:pos="6804"/>
        </w:tabs>
        <w:spacing w:after="0"/>
        <w:jc w:val="center"/>
        <w:rPr>
          <w:rFonts w:cs="Calibri"/>
          <w:b/>
          <w:smallCaps/>
          <w:sz w:val="32"/>
        </w:rPr>
      </w:pPr>
      <w:r>
        <w:rPr>
          <w:rFonts w:cs="Calibri"/>
          <w:b/>
          <w:smallCaps/>
          <w:sz w:val="32"/>
        </w:rPr>
        <w:t>Zpráva o výsledku přezkoumání hospodaření</w:t>
      </w:r>
    </w:p>
    <w:p w14:paraId="1171B161" w14:textId="77777777" w:rsidR="004E7B56" w:rsidRDefault="009C5AB4">
      <w:pPr>
        <w:tabs>
          <w:tab w:val="left" w:pos="6804"/>
        </w:tabs>
        <w:spacing w:after="0"/>
        <w:jc w:val="center"/>
        <w:rPr>
          <w:rFonts w:cs="Calibri"/>
          <w:b/>
          <w:smallCaps/>
          <w:sz w:val="32"/>
        </w:rPr>
      </w:pPr>
      <w:r>
        <w:rPr>
          <w:rFonts w:cs="Calibri"/>
          <w:b/>
          <w:smallCaps/>
          <w:sz w:val="32"/>
        </w:rPr>
        <w:t>městské části Praha Vinoř</w:t>
      </w:r>
    </w:p>
    <w:p w14:paraId="51AE946E" w14:textId="552F9305" w:rsidR="004E7B56" w:rsidRDefault="009C5AB4">
      <w:pPr>
        <w:tabs>
          <w:tab w:val="left" w:pos="6804"/>
        </w:tabs>
        <w:spacing w:after="0"/>
        <w:jc w:val="center"/>
        <w:rPr>
          <w:rFonts w:cs="Calibri"/>
          <w:b/>
          <w:smallCaps/>
          <w:sz w:val="32"/>
        </w:rPr>
      </w:pPr>
      <w:r>
        <w:rPr>
          <w:rFonts w:cs="Calibri"/>
          <w:b/>
          <w:smallCaps/>
          <w:sz w:val="32"/>
        </w:rPr>
        <w:t>za období od 1. 1. 202</w:t>
      </w:r>
      <w:r w:rsidR="008D5D25">
        <w:rPr>
          <w:rFonts w:cs="Calibri"/>
          <w:b/>
          <w:smallCaps/>
          <w:sz w:val="32"/>
        </w:rPr>
        <w:t>4</w:t>
      </w:r>
      <w:r>
        <w:rPr>
          <w:rFonts w:cs="Calibri"/>
          <w:b/>
          <w:smallCaps/>
          <w:sz w:val="32"/>
        </w:rPr>
        <w:t xml:space="preserve"> do 31. 12. 202</w:t>
      </w:r>
      <w:r w:rsidR="008D5D25">
        <w:rPr>
          <w:rFonts w:cs="Calibri"/>
          <w:b/>
          <w:smallCaps/>
          <w:sz w:val="32"/>
        </w:rPr>
        <w:t>4</w:t>
      </w:r>
    </w:p>
    <w:p w14:paraId="318110A9" w14:textId="77777777" w:rsidR="004E7B56" w:rsidRDefault="004E7B56">
      <w:pPr>
        <w:tabs>
          <w:tab w:val="left" w:pos="6804"/>
        </w:tabs>
        <w:spacing w:after="0"/>
        <w:rPr>
          <w:rFonts w:cs="Calibri"/>
          <w:b/>
          <w:smallCaps/>
          <w:sz w:val="32"/>
        </w:rPr>
      </w:pPr>
    </w:p>
    <w:p w14:paraId="3F68EEEC" w14:textId="77777777" w:rsidR="004E7B56" w:rsidRDefault="009C5AB4">
      <w:pPr>
        <w:tabs>
          <w:tab w:val="left" w:pos="6804"/>
        </w:tabs>
        <w:spacing w:after="120" w:line="360" w:lineRule="auto"/>
      </w:pPr>
      <w:r>
        <w:rPr>
          <w:szCs w:val="18"/>
        </w:rPr>
        <w:t xml:space="preserve">podle zákona </w:t>
      </w:r>
      <w:r>
        <w:rPr>
          <w:rFonts w:cs="Calibri"/>
          <w:szCs w:val="18"/>
        </w:rPr>
        <w:t>č</w:t>
      </w:r>
      <w:r>
        <w:rPr>
          <w:szCs w:val="18"/>
        </w:rPr>
        <w:t>. 93/2009 Sb., o auditorech a o zm</w:t>
      </w:r>
      <w:r>
        <w:rPr>
          <w:rFonts w:cs="Calibri"/>
          <w:szCs w:val="18"/>
        </w:rPr>
        <w:t>ě</w:t>
      </w:r>
      <w:r>
        <w:rPr>
          <w:szCs w:val="18"/>
        </w:rPr>
        <w:t>n</w:t>
      </w:r>
      <w:r>
        <w:rPr>
          <w:rFonts w:cs="Calibri"/>
          <w:szCs w:val="18"/>
        </w:rPr>
        <w:t>ě</w:t>
      </w:r>
      <w:r>
        <w:rPr>
          <w:szCs w:val="18"/>
        </w:rPr>
        <w:t xml:space="preserve"> n</w:t>
      </w:r>
      <w:r>
        <w:rPr>
          <w:rFonts w:cs="Calibri"/>
          <w:szCs w:val="18"/>
        </w:rPr>
        <w:t>ě</w:t>
      </w:r>
      <w:r>
        <w:rPr>
          <w:szCs w:val="18"/>
        </w:rPr>
        <w:t>kterých zákon</w:t>
      </w:r>
      <w:r>
        <w:rPr>
          <w:rFonts w:cs="Calibri"/>
          <w:szCs w:val="18"/>
        </w:rPr>
        <w:t>ů</w:t>
      </w:r>
      <w:r>
        <w:rPr>
          <w:szCs w:val="18"/>
        </w:rPr>
        <w:t>, ve zn</w:t>
      </w:r>
      <w:r>
        <w:rPr>
          <w:rFonts w:cs="Calibri"/>
          <w:szCs w:val="18"/>
        </w:rPr>
        <w:t>ě</w:t>
      </w:r>
      <w:r>
        <w:rPr>
          <w:szCs w:val="18"/>
        </w:rPr>
        <w:t>ní pozd</w:t>
      </w:r>
      <w:r>
        <w:rPr>
          <w:rFonts w:cs="Calibri"/>
          <w:szCs w:val="18"/>
        </w:rPr>
        <w:t>ě</w:t>
      </w:r>
      <w:r>
        <w:rPr>
          <w:szCs w:val="18"/>
        </w:rPr>
        <w:t>jších p</w:t>
      </w:r>
      <w:r>
        <w:rPr>
          <w:rFonts w:cs="Calibri"/>
          <w:szCs w:val="18"/>
        </w:rPr>
        <w:t>ř</w:t>
      </w:r>
      <w:r>
        <w:rPr>
          <w:szCs w:val="18"/>
        </w:rPr>
        <w:t>edpis</w:t>
      </w:r>
      <w:r>
        <w:rPr>
          <w:rFonts w:cs="Calibri"/>
          <w:szCs w:val="18"/>
        </w:rPr>
        <w:t>ů</w:t>
      </w:r>
      <w:r>
        <w:rPr>
          <w:szCs w:val="18"/>
        </w:rPr>
        <w:t xml:space="preserve">, auditorského standardu </w:t>
      </w:r>
      <w:r>
        <w:rPr>
          <w:rFonts w:cs="Calibri"/>
          <w:szCs w:val="18"/>
        </w:rPr>
        <w:t>č</w:t>
      </w:r>
      <w:r>
        <w:rPr>
          <w:szCs w:val="18"/>
        </w:rPr>
        <w:t>. 52, dalších relevantních p</w:t>
      </w:r>
      <w:r>
        <w:rPr>
          <w:rFonts w:cs="Calibri"/>
          <w:szCs w:val="18"/>
        </w:rPr>
        <w:t>ř</w:t>
      </w:r>
      <w:r>
        <w:rPr>
          <w:szCs w:val="18"/>
        </w:rPr>
        <w:t>edpis</w:t>
      </w:r>
      <w:r>
        <w:rPr>
          <w:rFonts w:cs="Calibri"/>
          <w:szCs w:val="18"/>
        </w:rPr>
        <w:t>ů</w:t>
      </w:r>
      <w:r>
        <w:rPr>
          <w:szCs w:val="18"/>
        </w:rPr>
        <w:t xml:space="preserve"> vydaných Komorou auditor</w:t>
      </w:r>
      <w:r>
        <w:rPr>
          <w:rFonts w:cs="Calibri"/>
          <w:szCs w:val="18"/>
        </w:rPr>
        <w:t>ů</w:t>
      </w:r>
      <w:r>
        <w:rPr>
          <w:szCs w:val="18"/>
        </w:rPr>
        <w:t xml:space="preserve"> </w:t>
      </w:r>
      <w:r>
        <w:rPr>
          <w:rFonts w:cs="Calibri"/>
          <w:szCs w:val="18"/>
        </w:rPr>
        <w:t>Č</w:t>
      </w:r>
      <w:r>
        <w:rPr>
          <w:szCs w:val="18"/>
        </w:rPr>
        <w:t>eské republiky, podle ustanovení § 42 zákona č. 128/2000 Sb., o obcích (obecní zřízení), ve zn</w:t>
      </w:r>
      <w:r>
        <w:rPr>
          <w:rFonts w:cs="Calibri"/>
          <w:szCs w:val="18"/>
        </w:rPr>
        <w:t>ě</w:t>
      </w:r>
      <w:r>
        <w:rPr>
          <w:szCs w:val="18"/>
        </w:rPr>
        <w:t>ní pozd</w:t>
      </w:r>
      <w:r>
        <w:rPr>
          <w:rFonts w:cs="Calibri"/>
          <w:szCs w:val="18"/>
        </w:rPr>
        <w:t>ě</w:t>
      </w:r>
      <w:r>
        <w:rPr>
          <w:szCs w:val="18"/>
        </w:rPr>
        <w:t>jších p</w:t>
      </w:r>
      <w:r>
        <w:rPr>
          <w:rFonts w:cs="Calibri"/>
          <w:szCs w:val="18"/>
        </w:rPr>
        <w:t>ř</w:t>
      </w:r>
      <w:r>
        <w:rPr>
          <w:szCs w:val="18"/>
        </w:rPr>
        <w:t>edpis</w:t>
      </w:r>
      <w:r>
        <w:rPr>
          <w:rFonts w:cs="Calibri"/>
          <w:szCs w:val="18"/>
        </w:rPr>
        <w:t>ů</w:t>
      </w:r>
      <w:r>
        <w:rPr>
          <w:szCs w:val="18"/>
        </w:rPr>
        <w:t xml:space="preserve"> a podle ustanovení § 10 zákona </w:t>
      </w:r>
      <w:r>
        <w:rPr>
          <w:rFonts w:cs="Calibri"/>
          <w:szCs w:val="18"/>
        </w:rPr>
        <w:t>č</w:t>
      </w:r>
      <w:r>
        <w:rPr>
          <w:szCs w:val="18"/>
        </w:rPr>
        <w:t>. 420/2004 Sb., o p</w:t>
      </w:r>
      <w:r>
        <w:rPr>
          <w:rFonts w:cs="Calibri"/>
          <w:szCs w:val="18"/>
        </w:rPr>
        <w:t>ř</w:t>
      </w:r>
      <w:r>
        <w:rPr>
          <w:szCs w:val="18"/>
        </w:rPr>
        <w:t>ezkoumávání hospoda</w:t>
      </w:r>
      <w:r>
        <w:rPr>
          <w:rFonts w:cs="Calibri"/>
          <w:szCs w:val="18"/>
        </w:rPr>
        <w:t>ř</w:t>
      </w:r>
      <w:r>
        <w:rPr>
          <w:szCs w:val="18"/>
        </w:rPr>
        <w:t>ení územních samosprávných celk</w:t>
      </w:r>
      <w:r>
        <w:rPr>
          <w:rFonts w:cs="Calibri"/>
          <w:szCs w:val="18"/>
        </w:rPr>
        <w:t>ů</w:t>
      </w:r>
      <w:r>
        <w:rPr>
          <w:szCs w:val="18"/>
        </w:rPr>
        <w:t xml:space="preserve"> a dobrovolných svazk</w:t>
      </w:r>
      <w:r>
        <w:rPr>
          <w:rFonts w:cs="Calibri"/>
          <w:szCs w:val="18"/>
        </w:rPr>
        <w:t>ů</w:t>
      </w:r>
      <w:r>
        <w:rPr>
          <w:szCs w:val="18"/>
        </w:rPr>
        <w:t xml:space="preserve"> obcí, ve zn</w:t>
      </w:r>
      <w:r>
        <w:rPr>
          <w:rFonts w:cs="Calibri"/>
          <w:szCs w:val="18"/>
        </w:rPr>
        <w:t>ě</w:t>
      </w:r>
      <w:r>
        <w:rPr>
          <w:szCs w:val="18"/>
        </w:rPr>
        <w:t>ní pozd</w:t>
      </w:r>
      <w:r>
        <w:rPr>
          <w:rFonts w:cs="Calibri"/>
          <w:szCs w:val="18"/>
        </w:rPr>
        <w:t>ě</w:t>
      </w:r>
      <w:r>
        <w:rPr>
          <w:szCs w:val="18"/>
        </w:rPr>
        <w:t>jších p</w:t>
      </w:r>
      <w:r>
        <w:rPr>
          <w:rFonts w:cs="Calibri"/>
          <w:szCs w:val="18"/>
        </w:rPr>
        <w:t>ř</w:t>
      </w:r>
      <w:r>
        <w:rPr>
          <w:szCs w:val="18"/>
        </w:rPr>
        <w:t>edpis</w:t>
      </w:r>
      <w:r>
        <w:rPr>
          <w:rFonts w:cs="Calibri"/>
          <w:szCs w:val="18"/>
        </w:rPr>
        <w:t>ů</w:t>
      </w:r>
      <w:r>
        <w:rPr>
          <w:szCs w:val="18"/>
        </w:rPr>
        <w:t xml:space="preserve"> (dále i jen „zákon </w:t>
      </w:r>
      <w:r>
        <w:rPr>
          <w:szCs w:val="18"/>
        </w:rPr>
        <w:br/>
      </w:r>
      <w:r>
        <w:rPr>
          <w:rFonts w:cs="Calibri"/>
          <w:szCs w:val="18"/>
        </w:rPr>
        <w:t>č</w:t>
      </w:r>
      <w:r>
        <w:rPr>
          <w:szCs w:val="18"/>
        </w:rPr>
        <w:t>. 420/2004 Sb.“ nebo „zákon o přezkoumání“).</w:t>
      </w:r>
    </w:p>
    <w:p w14:paraId="37A2B12C" w14:textId="77777777" w:rsidR="004E7B56" w:rsidRDefault="009C5AB4">
      <w:pPr>
        <w:pStyle w:val="Nadpis1"/>
        <w:spacing w:before="120" w:after="120"/>
        <w:ind w:left="431" w:hanging="431"/>
        <w:rPr>
          <w:sz w:val="18"/>
          <w:szCs w:val="18"/>
          <w:lang w:val="cs-CZ"/>
        </w:rPr>
      </w:pPr>
      <w:r>
        <w:t>Všeobecné informace</w:t>
      </w:r>
    </w:p>
    <w:tbl>
      <w:tblPr>
        <w:tblW w:w="0" w:type="auto"/>
        <w:tblLayout w:type="fixed"/>
        <w:tblLook w:val="0000" w:firstRow="0" w:lastRow="0" w:firstColumn="0" w:lastColumn="0" w:noHBand="0" w:noVBand="0"/>
      </w:tblPr>
      <w:tblGrid>
        <w:gridCol w:w="3652"/>
        <w:gridCol w:w="3969"/>
        <w:gridCol w:w="1843"/>
      </w:tblGrid>
      <w:tr w:rsidR="004E7B56" w14:paraId="166D8148" w14:textId="77777777">
        <w:tc>
          <w:tcPr>
            <w:tcW w:w="3652" w:type="dxa"/>
            <w:tcBorders>
              <w:top w:val="single" w:sz="6" w:space="0" w:color="000000"/>
              <w:left w:val="single" w:sz="6" w:space="0" w:color="000000"/>
              <w:bottom w:val="single" w:sz="4" w:space="0" w:color="000000"/>
              <w:right w:val="single" w:sz="4" w:space="0" w:color="000000"/>
            </w:tcBorders>
            <w:shd w:val="clear" w:color="auto" w:fill="auto"/>
          </w:tcPr>
          <w:p w14:paraId="7773ABDD" w14:textId="77777777" w:rsidR="004E7B56" w:rsidRDefault="009C5AB4">
            <w:pPr>
              <w:pStyle w:val="Odstavecseseznamem"/>
              <w:tabs>
                <w:tab w:val="left" w:pos="284"/>
                <w:tab w:val="left" w:pos="13892"/>
              </w:tabs>
              <w:spacing w:after="0"/>
              <w:ind w:left="0"/>
            </w:pPr>
            <w:r>
              <w:rPr>
                <w:b/>
                <w:sz w:val="18"/>
                <w:szCs w:val="18"/>
                <w:lang w:val="cs-CZ"/>
              </w:rPr>
              <w:t>Název územního samosprávného celku:</w:t>
            </w:r>
          </w:p>
        </w:tc>
        <w:tc>
          <w:tcPr>
            <w:tcW w:w="5812" w:type="dxa"/>
            <w:gridSpan w:val="2"/>
            <w:tcBorders>
              <w:top w:val="single" w:sz="6" w:space="0" w:color="000000"/>
              <w:left w:val="single" w:sz="4" w:space="0" w:color="000000"/>
              <w:bottom w:val="single" w:sz="4" w:space="0" w:color="000000"/>
              <w:right w:val="single" w:sz="6" w:space="0" w:color="000000"/>
            </w:tcBorders>
            <w:shd w:val="clear" w:color="auto" w:fill="auto"/>
          </w:tcPr>
          <w:p w14:paraId="2B95370C" w14:textId="77777777" w:rsidR="004E7B56" w:rsidRDefault="009C5AB4">
            <w:pPr>
              <w:pStyle w:val="Odstavecseseznamem"/>
              <w:tabs>
                <w:tab w:val="left" w:pos="284"/>
                <w:tab w:val="left" w:pos="13892"/>
              </w:tabs>
              <w:spacing w:after="0"/>
              <w:ind w:left="0"/>
            </w:pPr>
            <w:r>
              <w:rPr>
                <w:b/>
                <w:sz w:val="18"/>
                <w:szCs w:val="18"/>
                <w:lang w:val="cs-CZ"/>
              </w:rPr>
              <w:t>Hlavní město Praha, městská část Praha - Vinoř</w:t>
            </w:r>
          </w:p>
        </w:tc>
      </w:tr>
      <w:tr w:rsidR="004E7B56" w14:paraId="304CC339" w14:textId="77777777">
        <w:tc>
          <w:tcPr>
            <w:tcW w:w="3652" w:type="dxa"/>
            <w:tcBorders>
              <w:top w:val="single" w:sz="4" w:space="0" w:color="000000"/>
              <w:left w:val="single" w:sz="6" w:space="0" w:color="000000"/>
              <w:bottom w:val="single" w:sz="4" w:space="0" w:color="000000"/>
              <w:right w:val="single" w:sz="4" w:space="0" w:color="000000"/>
            </w:tcBorders>
            <w:shd w:val="clear" w:color="auto" w:fill="auto"/>
          </w:tcPr>
          <w:p w14:paraId="02056A4C" w14:textId="77777777" w:rsidR="004E7B56" w:rsidRDefault="009C5AB4">
            <w:pPr>
              <w:pStyle w:val="Odstavecseseznamem"/>
              <w:tabs>
                <w:tab w:val="left" w:pos="284"/>
                <w:tab w:val="left" w:pos="13892"/>
              </w:tabs>
              <w:spacing w:after="0"/>
              <w:ind w:left="0"/>
            </w:pPr>
            <w:r>
              <w:rPr>
                <w:b/>
                <w:sz w:val="18"/>
                <w:szCs w:val="18"/>
                <w:lang w:val="cs-CZ"/>
              </w:rPr>
              <w:t>IČO:</w:t>
            </w:r>
          </w:p>
        </w:tc>
        <w:tc>
          <w:tcPr>
            <w:tcW w:w="5812" w:type="dxa"/>
            <w:gridSpan w:val="2"/>
            <w:tcBorders>
              <w:top w:val="single" w:sz="4" w:space="0" w:color="000000"/>
              <w:left w:val="single" w:sz="4" w:space="0" w:color="000000"/>
              <w:bottom w:val="single" w:sz="4" w:space="0" w:color="000000"/>
              <w:right w:val="single" w:sz="6" w:space="0" w:color="000000"/>
            </w:tcBorders>
            <w:shd w:val="clear" w:color="auto" w:fill="auto"/>
          </w:tcPr>
          <w:p w14:paraId="24CB8F7F" w14:textId="77777777" w:rsidR="004E7B56" w:rsidRDefault="009C5AB4">
            <w:pPr>
              <w:pStyle w:val="Odstavecseseznamem"/>
              <w:tabs>
                <w:tab w:val="left" w:pos="284"/>
                <w:tab w:val="left" w:pos="13892"/>
              </w:tabs>
              <w:spacing w:after="0"/>
              <w:ind w:left="0"/>
            </w:pPr>
            <w:r>
              <w:rPr>
                <w:b/>
                <w:sz w:val="18"/>
                <w:szCs w:val="18"/>
                <w:lang w:val="cs-CZ"/>
              </w:rPr>
              <w:t>00240982</w:t>
            </w:r>
          </w:p>
        </w:tc>
      </w:tr>
      <w:tr w:rsidR="004E7B56" w14:paraId="40E970DC" w14:textId="77777777">
        <w:tc>
          <w:tcPr>
            <w:tcW w:w="3652" w:type="dxa"/>
            <w:tcBorders>
              <w:top w:val="single" w:sz="4" w:space="0" w:color="000000"/>
              <w:left w:val="single" w:sz="6" w:space="0" w:color="000000"/>
              <w:bottom w:val="single" w:sz="4" w:space="0" w:color="000000"/>
              <w:right w:val="single" w:sz="4" w:space="0" w:color="000000"/>
            </w:tcBorders>
            <w:shd w:val="clear" w:color="auto" w:fill="auto"/>
          </w:tcPr>
          <w:p w14:paraId="0BEA2226" w14:textId="77777777" w:rsidR="004E7B56" w:rsidRDefault="009C5AB4">
            <w:pPr>
              <w:pStyle w:val="Odstavecseseznamem"/>
              <w:tabs>
                <w:tab w:val="left" w:pos="284"/>
                <w:tab w:val="left" w:pos="13892"/>
              </w:tabs>
              <w:spacing w:after="0"/>
              <w:ind w:left="0"/>
            </w:pPr>
            <w:r>
              <w:rPr>
                <w:b/>
                <w:sz w:val="18"/>
                <w:szCs w:val="18"/>
                <w:lang w:val="cs-CZ"/>
              </w:rPr>
              <w:t>Právní forma:</w:t>
            </w:r>
          </w:p>
        </w:tc>
        <w:tc>
          <w:tcPr>
            <w:tcW w:w="5812" w:type="dxa"/>
            <w:gridSpan w:val="2"/>
            <w:tcBorders>
              <w:top w:val="single" w:sz="4" w:space="0" w:color="000000"/>
              <w:left w:val="single" w:sz="4" w:space="0" w:color="000000"/>
              <w:bottom w:val="single" w:sz="4" w:space="0" w:color="000000"/>
              <w:right w:val="single" w:sz="6" w:space="0" w:color="000000"/>
            </w:tcBorders>
            <w:shd w:val="clear" w:color="auto" w:fill="auto"/>
          </w:tcPr>
          <w:p w14:paraId="302CC760" w14:textId="77777777" w:rsidR="004E7B56" w:rsidRDefault="009C5AB4">
            <w:pPr>
              <w:pStyle w:val="Odstavecseseznamem"/>
              <w:tabs>
                <w:tab w:val="left" w:pos="284"/>
                <w:tab w:val="left" w:pos="13892"/>
              </w:tabs>
              <w:spacing w:after="0"/>
              <w:ind w:left="0"/>
            </w:pPr>
            <w:r>
              <w:rPr>
                <w:b/>
                <w:sz w:val="18"/>
                <w:szCs w:val="18"/>
                <w:lang w:val="cs-CZ"/>
              </w:rPr>
              <w:t>územní samosprávný celek</w:t>
            </w:r>
          </w:p>
        </w:tc>
      </w:tr>
      <w:tr w:rsidR="004E7B56" w14:paraId="0EAD4C55" w14:textId="77777777">
        <w:tc>
          <w:tcPr>
            <w:tcW w:w="3652" w:type="dxa"/>
            <w:tcBorders>
              <w:top w:val="single" w:sz="4" w:space="0" w:color="000000"/>
              <w:left w:val="single" w:sz="6" w:space="0" w:color="000000"/>
              <w:bottom w:val="single" w:sz="4" w:space="0" w:color="000000"/>
              <w:right w:val="single" w:sz="4" w:space="0" w:color="000000"/>
            </w:tcBorders>
            <w:shd w:val="clear" w:color="auto" w:fill="auto"/>
          </w:tcPr>
          <w:p w14:paraId="569B9098" w14:textId="77777777" w:rsidR="004E7B56" w:rsidRDefault="009C5AB4">
            <w:pPr>
              <w:pStyle w:val="Odstavecseseznamem"/>
              <w:tabs>
                <w:tab w:val="left" w:pos="284"/>
                <w:tab w:val="left" w:pos="13892"/>
              </w:tabs>
              <w:spacing w:after="0"/>
              <w:ind w:left="0"/>
            </w:pPr>
            <w:r>
              <w:rPr>
                <w:b/>
                <w:sz w:val="18"/>
                <w:szCs w:val="18"/>
                <w:lang w:val="cs-CZ"/>
              </w:rPr>
              <w:t>Sídlo:</w:t>
            </w:r>
          </w:p>
        </w:tc>
        <w:tc>
          <w:tcPr>
            <w:tcW w:w="5812" w:type="dxa"/>
            <w:gridSpan w:val="2"/>
            <w:tcBorders>
              <w:top w:val="single" w:sz="4" w:space="0" w:color="000000"/>
              <w:left w:val="single" w:sz="4" w:space="0" w:color="000000"/>
              <w:bottom w:val="single" w:sz="4" w:space="0" w:color="000000"/>
              <w:right w:val="single" w:sz="6" w:space="0" w:color="000000"/>
            </w:tcBorders>
            <w:shd w:val="clear" w:color="auto" w:fill="auto"/>
          </w:tcPr>
          <w:p w14:paraId="29070DE8" w14:textId="77777777" w:rsidR="004E7B56" w:rsidRDefault="009C5AB4">
            <w:pPr>
              <w:pStyle w:val="Odstavecseseznamem"/>
              <w:tabs>
                <w:tab w:val="left" w:pos="284"/>
                <w:tab w:val="left" w:pos="13892"/>
              </w:tabs>
              <w:spacing w:after="0"/>
              <w:ind w:left="0"/>
            </w:pPr>
            <w:r>
              <w:rPr>
                <w:b/>
                <w:sz w:val="18"/>
                <w:szCs w:val="18"/>
                <w:lang w:val="cs-CZ"/>
              </w:rPr>
              <w:t>Bohdanečská 97, 190 17 Praha</w:t>
            </w:r>
          </w:p>
        </w:tc>
      </w:tr>
      <w:tr w:rsidR="004E7B56" w14:paraId="73400A01" w14:textId="77777777">
        <w:tc>
          <w:tcPr>
            <w:tcW w:w="3652" w:type="dxa"/>
            <w:tcBorders>
              <w:top w:val="single" w:sz="4" w:space="0" w:color="000000"/>
              <w:left w:val="single" w:sz="6" w:space="0" w:color="000000"/>
              <w:bottom w:val="single" w:sz="4" w:space="0" w:color="000000"/>
              <w:right w:val="single" w:sz="4" w:space="0" w:color="000000"/>
            </w:tcBorders>
            <w:shd w:val="clear" w:color="auto" w:fill="auto"/>
          </w:tcPr>
          <w:p w14:paraId="2956248F" w14:textId="77777777" w:rsidR="004E7B56" w:rsidRDefault="009C5AB4">
            <w:pPr>
              <w:pStyle w:val="Odstavecseseznamem"/>
              <w:tabs>
                <w:tab w:val="left" w:pos="284"/>
                <w:tab w:val="left" w:pos="13892"/>
              </w:tabs>
              <w:spacing w:after="0"/>
              <w:ind w:left="0"/>
            </w:pPr>
            <w:r>
              <w:rPr>
                <w:b/>
                <w:sz w:val="18"/>
                <w:szCs w:val="18"/>
                <w:lang w:val="cs-CZ"/>
              </w:rPr>
              <w:t>Hlavní orgán:</w:t>
            </w:r>
          </w:p>
        </w:tc>
        <w:tc>
          <w:tcPr>
            <w:tcW w:w="5812" w:type="dxa"/>
            <w:gridSpan w:val="2"/>
            <w:tcBorders>
              <w:top w:val="single" w:sz="4" w:space="0" w:color="000000"/>
              <w:left w:val="single" w:sz="4" w:space="0" w:color="000000"/>
              <w:bottom w:val="single" w:sz="4" w:space="0" w:color="000000"/>
              <w:right w:val="single" w:sz="6" w:space="0" w:color="000000"/>
            </w:tcBorders>
            <w:shd w:val="clear" w:color="auto" w:fill="auto"/>
          </w:tcPr>
          <w:p w14:paraId="68C546F5" w14:textId="77777777" w:rsidR="004E7B56" w:rsidRDefault="009C5AB4">
            <w:pPr>
              <w:pStyle w:val="Odstavecseseznamem"/>
              <w:tabs>
                <w:tab w:val="left" w:pos="284"/>
                <w:tab w:val="left" w:pos="13892"/>
              </w:tabs>
              <w:spacing w:after="0"/>
              <w:ind w:left="0"/>
            </w:pPr>
            <w:r>
              <w:rPr>
                <w:rFonts w:cs="Tahoma"/>
                <w:b/>
                <w:bCs/>
                <w:sz w:val="18"/>
                <w:szCs w:val="18"/>
                <w:lang w:val="cs-CZ"/>
              </w:rPr>
              <w:t>Ing. Michal Biskup,</w:t>
            </w:r>
            <w:r>
              <w:rPr>
                <w:b/>
                <w:bCs/>
                <w:sz w:val="18"/>
                <w:szCs w:val="18"/>
                <w:lang w:val="cs-CZ"/>
              </w:rPr>
              <w:t xml:space="preserve"> starosta městské části Praha - Vinoř</w:t>
            </w:r>
          </w:p>
        </w:tc>
      </w:tr>
      <w:tr w:rsidR="004E7B56" w14:paraId="1C5CBE41" w14:textId="77777777">
        <w:trPr>
          <w:trHeight w:val="113"/>
        </w:trPr>
        <w:tc>
          <w:tcPr>
            <w:tcW w:w="9464" w:type="dxa"/>
            <w:gridSpan w:val="3"/>
            <w:tcBorders>
              <w:top w:val="single" w:sz="4" w:space="0" w:color="000000"/>
              <w:left w:val="single" w:sz="6" w:space="0" w:color="000000"/>
              <w:bottom w:val="single" w:sz="4" w:space="0" w:color="000000"/>
              <w:right w:val="single" w:sz="6" w:space="0" w:color="000000"/>
            </w:tcBorders>
            <w:shd w:val="clear" w:color="auto" w:fill="auto"/>
          </w:tcPr>
          <w:p w14:paraId="7ACCC2DE" w14:textId="77777777" w:rsidR="004E7B56" w:rsidRDefault="004E7B56">
            <w:pPr>
              <w:pStyle w:val="Odstavecseseznamem"/>
              <w:tabs>
                <w:tab w:val="left" w:pos="284"/>
                <w:tab w:val="left" w:pos="13892"/>
              </w:tabs>
              <w:snapToGrid w:val="0"/>
              <w:spacing w:after="0"/>
              <w:ind w:left="0"/>
              <w:rPr>
                <w:b/>
                <w:bCs/>
                <w:sz w:val="8"/>
                <w:szCs w:val="18"/>
                <w:highlight w:val="lightGray"/>
                <w:lang w:val="cs-CZ"/>
              </w:rPr>
            </w:pPr>
          </w:p>
        </w:tc>
      </w:tr>
      <w:tr w:rsidR="004E7B56" w14:paraId="32A92E21" w14:textId="77777777">
        <w:tc>
          <w:tcPr>
            <w:tcW w:w="3652" w:type="dxa"/>
            <w:tcBorders>
              <w:top w:val="single" w:sz="4" w:space="0" w:color="000000"/>
              <w:left w:val="single" w:sz="6" w:space="0" w:color="000000"/>
              <w:bottom w:val="single" w:sz="4" w:space="0" w:color="000000"/>
              <w:right w:val="single" w:sz="4" w:space="0" w:color="000000"/>
            </w:tcBorders>
            <w:shd w:val="clear" w:color="auto" w:fill="auto"/>
          </w:tcPr>
          <w:p w14:paraId="2CFB83FA" w14:textId="77777777" w:rsidR="004E7B56" w:rsidRDefault="009C5AB4">
            <w:pPr>
              <w:pStyle w:val="Odstavecseseznamem"/>
              <w:tabs>
                <w:tab w:val="left" w:pos="284"/>
                <w:tab w:val="left" w:pos="13892"/>
              </w:tabs>
              <w:spacing w:after="0"/>
              <w:ind w:left="0"/>
            </w:pPr>
            <w:r>
              <w:rPr>
                <w:b/>
                <w:sz w:val="18"/>
                <w:szCs w:val="18"/>
                <w:lang w:val="cs-CZ"/>
              </w:rPr>
              <w:t>Místo přezkoumání:</w:t>
            </w:r>
          </w:p>
        </w:tc>
        <w:tc>
          <w:tcPr>
            <w:tcW w:w="5812" w:type="dxa"/>
            <w:gridSpan w:val="2"/>
            <w:tcBorders>
              <w:top w:val="single" w:sz="4" w:space="0" w:color="000000"/>
              <w:left w:val="single" w:sz="4" w:space="0" w:color="000000"/>
              <w:bottom w:val="single" w:sz="4" w:space="0" w:color="000000"/>
              <w:right w:val="single" w:sz="6" w:space="0" w:color="000000"/>
            </w:tcBorders>
            <w:shd w:val="clear" w:color="auto" w:fill="auto"/>
          </w:tcPr>
          <w:p w14:paraId="4802E8C8" w14:textId="77777777" w:rsidR="004E7B56" w:rsidRDefault="009C5AB4">
            <w:pPr>
              <w:pStyle w:val="Odstavecseseznamem"/>
              <w:tabs>
                <w:tab w:val="left" w:pos="284"/>
                <w:tab w:val="left" w:pos="13892"/>
              </w:tabs>
              <w:spacing w:after="0"/>
              <w:ind w:left="0"/>
            </w:pPr>
            <w:r>
              <w:rPr>
                <w:b/>
                <w:sz w:val="18"/>
                <w:szCs w:val="18"/>
                <w:lang w:val="cs-CZ"/>
              </w:rPr>
              <w:t>Prostory úřadu městské části Praha - Vinoř</w:t>
            </w:r>
          </w:p>
        </w:tc>
      </w:tr>
      <w:tr w:rsidR="004E7B56" w14:paraId="1AF50D35" w14:textId="77777777">
        <w:tc>
          <w:tcPr>
            <w:tcW w:w="3652" w:type="dxa"/>
            <w:tcBorders>
              <w:top w:val="single" w:sz="4" w:space="0" w:color="000000"/>
              <w:left w:val="single" w:sz="6" w:space="0" w:color="000000"/>
              <w:bottom w:val="single" w:sz="4" w:space="0" w:color="000000"/>
              <w:right w:val="single" w:sz="4" w:space="0" w:color="000000"/>
            </w:tcBorders>
            <w:shd w:val="clear" w:color="auto" w:fill="auto"/>
          </w:tcPr>
          <w:p w14:paraId="1F5B69ED" w14:textId="77777777" w:rsidR="004E7B56" w:rsidRDefault="009C5AB4">
            <w:pPr>
              <w:pStyle w:val="Odstavecseseznamem"/>
              <w:tabs>
                <w:tab w:val="left" w:pos="284"/>
                <w:tab w:val="left" w:pos="13892"/>
              </w:tabs>
              <w:spacing w:after="0"/>
              <w:ind w:left="0"/>
            </w:pPr>
            <w:r>
              <w:rPr>
                <w:b/>
                <w:sz w:val="18"/>
                <w:szCs w:val="18"/>
                <w:lang w:val="cs-CZ"/>
              </w:rPr>
              <w:t>Doba provedení dílčího přezkoumání:</w:t>
            </w:r>
          </w:p>
        </w:tc>
        <w:tc>
          <w:tcPr>
            <w:tcW w:w="5812" w:type="dxa"/>
            <w:gridSpan w:val="2"/>
            <w:tcBorders>
              <w:top w:val="single" w:sz="4" w:space="0" w:color="000000"/>
              <w:left w:val="single" w:sz="4" w:space="0" w:color="000000"/>
              <w:bottom w:val="single" w:sz="4" w:space="0" w:color="000000"/>
              <w:right w:val="single" w:sz="6" w:space="0" w:color="000000"/>
            </w:tcBorders>
            <w:shd w:val="clear" w:color="auto" w:fill="auto"/>
          </w:tcPr>
          <w:p w14:paraId="10FB7CF2" w14:textId="6FFD980E" w:rsidR="004E7B56" w:rsidRDefault="008D5D25">
            <w:pPr>
              <w:pStyle w:val="Odstavecseseznamem"/>
              <w:tabs>
                <w:tab w:val="left" w:pos="284"/>
                <w:tab w:val="left" w:pos="13892"/>
              </w:tabs>
              <w:spacing w:after="0"/>
              <w:ind w:left="0"/>
            </w:pPr>
            <w:r>
              <w:rPr>
                <w:b/>
                <w:sz w:val="18"/>
                <w:szCs w:val="18"/>
                <w:lang w:val="cs-CZ"/>
              </w:rPr>
              <w:t>9.-10.12.2024</w:t>
            </w:r>
          </w:p>
        </w:tc>
      </w:tr>
      <w:tr w:rsidR="004E7B56" w14:paraId="7315771D" w14:textId="77777777">
        <w:tc>
          <w:tcPr>
            <w:tcW w:w="3652" w:type="dxa"/>
            <w:tcBorders>
              <w:top w:val="single" w:sz="4" w:space="0" w:color="000000"/>
              <w:left w:val="single" w:sz="6" w:space="0" w:color="000000"/>
              <w:bottom w:val="single" w:sz="4" w:space="0" w:color="000000"/>
              <w:right w:val="single" w:sz="4" w:space="0" w:color="000000"/>
            </w:tcBorders>
            <w:shd w:val="clear" w:color="auto" w:fill="auto"/>
          </w:tcPr>
          <w:p w14:paraId="4608740F" w14:textId="77777777" w:rsidR="004E7B56" w:rsidRDefault="009C5AB4">
            <w:pPr>
              <w:pStyle w:val="Odstavecseseznamem"/>
              <w:tabs>
                <w:tab w:val="left" w:pos="284"/>
                <w:tab w:val="left" w:pos="13892"/>
              </w:tabs>
              <w:spacing w:after="0"/>
              <w:ind w:left="0"/>
            </w:pPr>
            <w:r>
              <w:rPr>
                <w:b/>
                <w:sz w:val="18"/>
                <w:szCs w:val="18"/>
                <w:lang w:val="cs-CZ"/>
              </w:rPr>
              <w:t>Doba provedení závěrečného přezkoumání:</w:t>
            </w:r>
          </w:p>
        </w:tc>
        <w:tc>
          <w:tcPr>
            <w:tcW w:w="5812" w:type="dxa"/>
            <w:gridSpan w:val="2"/>
            <w:tcBorders>
              <w:top w:val="single" w:sz="4" w:space="0" w:color="000000"/>
              <w:left w:val="single" w:sz="4" w:space="0" w:color="000000"/>
              <w:bottom w:val="single" w:sz="4" w:space="0" w:color="000000"/>
              <w:right w:val="single" w:sz="6" w:space="0" w:color="000000"/>
            </w:tcBorders>
            <w:shd w:val="clear" w:color="auto" w:fill="auto"/>
          </w:tcPr>
          <w:p w14:paraId="4D593A11" w14:textId="0BBC6692" w:rsidR="004E7B56" w:rsidRDefault="009C5AB4">
            <w:pPr>
              <w:pStyle w:val="Odstavecseseznamem"/>
              <w:tabs>
                <w:tab w:val="left" w:pos="284"/>
                <w:tab w:val="left" w:pos="13892"/>
              </w:tabs>
              <w:spacing w:after="0"/>
              <w:ind w:left="0"/>
            </w:pPr>
            <w:r>
              <w:rPr>
                <w:b/>
                <w:sz w:val="18"/>
                <w:szCs w:val="18"/>
                <w:lang w:val="cs-CZ"/>
              </w:rPr>
              <w:t>1</w:t>
            </w:r>
            <w:r w:rsidR="00EB458A">
              <w:rPr>
                <w:b/>
                <w:sz w:val="18"/>
                <w:szCs w:val="18"/>
                <w:lang w:val="cs-CZ"/>
              </w:rPr>
              <w:t>7</w:t>
            </w:r>
            <w:r>
              <w:rPr>
                <w:b/>
                <w:sz w:val="18"/>
                <w:szCs w:val="18"/>
                <w:lang w:val="cs-CZ"/>
              </w:rPr>
              <w:t>.</w:t>
            </w:r>
            <w:r w:rsidR="00EB458A">
              <w:rPr>
                <w:b/>
                <w:sz w:val="18"/>
                <w:szCs w:val="18"/>
                <w:lang w:val="cs-CZ"/>
              </w:rPr>
              <w:t>3</w:t>
            </w:r>
            <w:r>
              <w:rPr>
                <w:b/>
                <w:sz w:val="18"/>
                <w:szCs w:val="18"/>
                <w:lang w:val="cs-CZ"/>
              </w:rPr>
              <w:t>.-1</w:t>
            </w:r>
            <w:r w:rsidR="00EB458A">
              <w:rPr>
                <w:b/>
                <w:sz w:val="18"/>
                <w:szCs w:val="18"/>
                <w:lang w:val="cs-CZ"/>
              </w:rPr>
              <w:t>8</w:t>
            </w:r>
            <w:r>
              <w:rPr>
                <w:b/>
                <w:sz w:val="18"/>
                <w:szCs w:val="18"/>
                <w:lang w:val="cs-CZ"/>
              </w:rPr>
              <w:t>.</w:t>
            </w:r>
            <w:r w:rsidR="00EB458A">
              <w:rPr>
                <w:b/>
                <w:sz w:val="18"/>
                <w:szCs w:val="18"/>
                <w:lang w:val="cs-CZ"/>
              </w:rPr>
              <w:t>3</w:t>
            </w:r>
            <w:r>
              <w:rPr>
                <w:b/>
                <w:sz w:val="18"/>
                <w:szCs w:val="18"/>
                <w:lang w:val="cs-CZ"/>
              </w:rPr>
              <w:t>.202</w:t>
            </w:r>
            <w:r w:rsidR="008D5D25">
              <w:rPr>
                <w:b/>
                <w:sz w:val="18"/>
                <w:szCs w:val="18"/>
                <w:lang w:val="cs-CZ"/>
              </w:rPr>
              <w:t>5</w:t>
            </w:r>
          </w:p>
        </w:tc>
      </w:tr>
      <w:tr w:rsidR="004E7B56" w14:paraId="4F19B0FC" w14:textId="77777777">
        <w:tc>
          <w:tcPr>
            <w:tcW w:w="3652" w:type="dxa"/>
            <w:tcBorders>
              <w:top w:val="single" w:sz="4" w:space="0" w:color="000000"/>
              <w:left w:val="single" w:sz="6" w:space="0" w:color="000000"/>
              <w:bottom w:val="single" w:sz="4" w:space="0" w:color="000000"/>
              <w:right w:val="single" w:sz="4" w:space="0" w:color="000000"/>
            </w:tcBorders>
            <w:shd w:val="clear" w:color="auto" w:fill="auto"/>
          </w:tcPr>
          <w:p w14:paraId="198784AE" w14:textId="77777777" w:rsidR="004E7B56" w:rsidRDefault="009C5AB4">
            <w:pPr>
              <w:pStyle w:val="Odstavecseseznamem"/>
              <w:tabs>
                <w:tab w:val="left" w:pos="284"/>
                <w:tab w:val="left" w:pos="13892"/>
              </w:tabs>
              <w:spacing w:after="0"/>
              <w:ind w:left="0"/>
            </w:pPr>
            <w:r>
              <w:rPr>
                <w:b/>
                <w:sz w:val="18"/>
                <w:szCs w:val="18"/>
                <w:lang w:val="cs-CZ"/>
              </w:rPr>
              <w:t>Určení zahájení přezkoumání hospodaření:</w:t>
            </w:r>
          </w:p>
        </w:tc>
        <w:tc>
          <w:tcPr>
            <w:tcW w:w="5812" w:type="dxa"/>
            <w:gridSpan w:val="2"/>
            <w:tcBorders>
              <w:top w:val="single" w:sz="4" w:space="0" w:color="000000"/>
              <w:left w:val="single" w:sz="4" w:space="0" w:color="000000"/>
              <w:bottom w:val="single" w:sz="4" w:space="0" w:color="000000"/>
              <w:right w:val="single" w:sz="6" w:space="0" w:color="000000"/>
            </w:tcBorders>
            <w:shd w:val="clear" w:color="auto" w:fill="auto"/>
          </w:tcPr>
          <w:p w14:paraId="7EF9C579" w14:textId="450AC930" w:rsidR="004E7B56" w:rsidRDefault="009C5AB4">
            <w:pPr>
              <w:pStyle w:val="Odstavecseseznamem"/>
              <w:tabs>
                <w:tab w:val="left" w:pos="284"/>
                <w:tab w:val="left" w:pos="13892"/>
              </w:tabs>
              <w:spacing w:after="0"/>
              <w:ind w:left="0"/>
            </w:pPr>
            <w:r>
              <w:rPr>
                <w:b/>
                <w:sz w:val="18"/>
                <w:szCs w:val="18"/>
                <w:lang w:val="cs-CZ"/>
              </w:rPr>
              <w:t xml:space="preserve">Projednání a předání plánu dílčího přezkoumání hospodaření včetně předání úvodních požadavků </w:t>
            </w:r>
            <w:r w:rsidRPr="0055249F">
              <w:rPr>
                <w:b/>
                <w:color w:val="000000" w:themeColor="text1"/>
                <w:sz w:val="18"/>
                <w:szCs w:val="18"/>
                <w:lang w:val="cs-CZ"/>
              </w:rPr>
              <w:t xml:space="preserve">dne </w:t>
            </w:r>
            <w:r w:rsidR="00FA7D73" w:rsidRPr="0055249F">
              <w:rPr>
                <w:b/>
                <w:color w:val="000000" w:themeColor="text1"/>
                <w:sz w:val="18"/>
                <w:szCs w:val="18"/>
                <w:lang w:val="cs-CZ"/>
              </w:rPr>
              <w:t>9.12.</w:t>
            </w:r>
            <w:r w:rsidRPr="0055249F">
              <w:rPr>
                <w:b/>
                <w:color w:val="000000" w:themeColor="text1"/>
                <w:sz w:val="18"/>
                <w:szCs w:val="18"/>
                <w:lang w:val="cs-CZ"/>
              </w:rPr>
              <w:t>202</w:t>
            </w:r>
            <w:r w:rsidR="00FA7D73" w:rsidRPr="0055249F">
              <w:rPr>
                <w:b/>
                <w:color w:val="000000" w:themeColor="text1"/>
                <w:sz w:val="18"/>
                <w:szCs w:val="18"/>
                <w:lang w:val="cs-CZ"/>
              </w:rPr>
              <w:t>4</w:t>
            </w:r>
          </w:p>
        </w:tc>
      </w:tr>
      <w:tr w:rsidR="004E7B56" w14:paraId="0958814E" w14:textId="77777777">
        <w:tc>
          <w:tcPr>
            <w:tcW w:w="3652" w:type="dxa"/>
            <w:tcBorders>
              <w:top w:val="single" w:sz="4" w:space="0" w:color="000000"/>
              <w:left w:val="single" w:sz="6" w:space="0" w:color="000000"/>
              <w:bottom w:val="single" w:sz="4" w:space="0" w:color="000000"/>
              <w:right w:val="single" w:sz="4" w:space="0" w:color="000000"/>
            </w:tcBorders>
            <w:shd w:val="clear" w:color="auto" w:fill="auto"/>
          </w:tcPr>
          <w:p w14:paraId="27A7A178" w14:textId="77777777" w:rsidR="004E7B56" w:rsidRDefault="009C5AB4">
            <w:pPr>
              <w:pStyle w:val="Odstavecseseznamem"/>
              <w:tabs>
                <w:tab w:val="left" w:pos="284"/>
                <w:tab w:val="left" w:pos="13892"/>
              </w:tabs>
              <w:spacing w:after="0"/>
              <w:ind w:left="0"/>
            </w:pPr>
            <w:r>
              <w:rPr>
                <w:b/>
                <w:sz w:val="18"/>
                <w:szCs w:val="18"/>
                <w:lang w:val="cs-CZ"/>
              </w:rPr>
              <w:t>Určení ukončení přezkoumání hospodaření:</w:t>
            </w:r>
          </w:p>
        </w:tc>
        <w:tc>
          <w:tcPr>
            <w:tcW w:w="5812" w:type="dxa"/>
            <w:gridSpan w:val="2"/>
            <w:tcBorders>
              <w:top w:val="single" w:sz="4" w:space="0" w:color="000000"/>
              <w:left w:val="single" w:sz="4" w:space="0" w:color="000000"/>
              <w:bottom w:val="single" w:sz="4" w:space="0" w:color="000000"/>
              <w:right w:val="single" w:sz="6" w:space="0" w:color="000000"/>
            </w:tcBorders>
            <w:shd w:val="clear" w:color="auto" w:fill="auto"/>
          </w:tcPr>
          <w:p w14:paraId="64EA3DFA" w14:textId="383FDC04" w:rsidR="004E7B56" w:rsidRDefault="009C5AB4">
            <w:pPr>
              <w:pStyle w:val="Odstavecseseznamem"/>
              <w:tabs>
                <w:tab w:val="left" w:pos="284"/>
                <w:tab w:val="left" w:pos="13892"/>
              </w:tabs>
              <w:spacing w:after="0"/>
              <w:ind w:left="0"/>
            </w:pPr>
            <w:r>
              <w:rPr>
                <w:b/>
                <w:sz w:val="18"/>
                <w:szCs w:val="18"/>
                <w:lang w:val="cs-CZ"/>
              </w:rPr>
              <w:t xml:space="preserve">Projednání a předání zprávy o výsledku přezkoumání hospodaření dne </w:t>
            </w:r>
            <w:r>
              <w:rPr>
                <w:b/>
                <w:sz w:val="18"/>
                <w:szCs w:val="18"/>
                <w:lang w:val="cs-CZ"/>
              </w:rPr>
              <w:br/>
            </w:r>
            <w:r w:rsidR="00AA467E">
              <w:rPr>
                <w:b/>
                <w:color w:val="000000" w:themeColor="text1"/>
                <w:sz w:val="18"/>
                <w:szCs w:val="18"/>
                <w:lang w:val="cs-CZ"/>
              </w:rPr>
              <w:t>11</w:t>
            </w:r>
            <w:r w:rsidRPr="0055249F">
              <w:rPr>
                <w:b/>
                <w:color w:val="000000" w:themeColor="text1"/>
                <w:sz w:val="18"/>
                <w:szCs w:val="18"/>
                <w:lang w:val="cs-CZ"/>
              </w:rPr>
              <w:t>.</w:t>
            </w:r>
            <w:r w:rsidR="00AA467E">
              <w:rPr>
                <w:b/>
                <w:color w:val="000000" w:themeColor="text1"/>
                <w:sz w:val="18"/>
                <w:szCs w:val="18"/>
                <w:lang w:val="cs-CZ"/>
              </w:rPr>
              <w:t xml:space="preserve"> </w:t>
            </w:r>
            <w:r w:rsidR="008D5D25" w:rsidRPr="0055249F">
              <w:rPr>
                <w:b/>
                <w:color w:val="000000" w:themeColor="text1"/>
                <w:sz w:val="18"/>
                <w:szCs w:val="18"/>
                <w:lang w:val="cs-CZ"/>
              </w:rPr>
              <w:t>4</w:t>
            </w:r>
            <w:r w:rsidRPr="0055249F">
              <w:rPr>
                <w:b/>
                <w:color w:val="000000" w:themeColor="text1"/>
                <w:sz w:val="18"/>
                <w:szCs w:val="18"/>
                <w:lang w:val="cs-CZ"/>
              </w:rPr>
              <w:t>.</w:t>
            </w:r>
            <w:r w:rsidR="00AA467E">
              <w:rPr>
                <w:b/>
                <w:color w:val="000000" w:themeColor="text1"/>
                <w:sz w:val="18"/>
                <w:szCs w:val="18"/>
                <w:lang w:val="cs-CZ"/>
              </w:rPr>
              <w:t xml:space="preserve"> </w:t>
            </w:r>
            <w:r w:rsidRPr="0055249F">
              <w:rPr>
                <w:b/>
                <w:color w:val="000000" w:themeColor="text1"/>
                <w:sz w:val="18"/>
                <w:szCs w:val="18"/>
                <w:lang w:val="cs-CZ"/>
              </w:rPr>
              <w:t>202</w:t>
            </w:r>
            <w:r w:rsidR="008D5D25" w:rsidRPr="0055249F">
              <w:rPr>
                <w:b/>
                <w:color w:val="000000" w:themeColor="text1"/>
                <w:sz w:val="18"/>
                <w:szCs w:val="18"/>
                <w:lang w:val="cs-CZ"/>
              </w:rPr>
              <w:t>5</w:t>
            </w:r>
          </w:p>
        </w:tc>
      </w:tr>
      <w:tr w:rsidR="004E7B56" w14:paraId="26A69896" w14:textId="77777777">
        <w:tc>
          <w:tcPr>
            <w:tcW w:w="3652" w:type="dxa"/>
            <w:tcBorders>
              <w:top w:val="single" w:sz="4" w:space="0" w:color="000000"/>
              <w:left w:val="single" w:sz="6" w:space="0" w:color="000000"/>
              <w:bottom w:val="single" w:sz="6" w:space="0" w:color="000000"/>
              <w:right w:val="single" w:sz="4" w:space="0" w:color="000000"/>
            </w:tcBorders>
            <w:shd w:val="clear" w:color="auto" w:fill="auto"/>
          </w:tcPr>
          <w:p w14:paraId="23654CE1" w14:textId="77777777" w:rsidR="004E7B56" w:rsidRDefault="009C5AB4">
            <w:pPr>
              <w:pStyle w:val="Odstavecseseznamem"/>
              <w:tabs>
                <w:tab w:val="left" w:pos="284"/>
                <w:tab w:val="left" w:pos="13892"/>
              </w:tabs>
              <w:spacing w:after="0"/>
              <w:ind w:left="0"/>
            </w:pPr>
            <w:r>
              <w:rPr>
                <w:b/>
                <w:sz w:val="18"/>
                <w:szCs w:val="18"/>
                <w:lang w:val="cs-CZ"/>
              </w:rPr>
              <w:t>Určení zprávy:</w:t>
            </w:r>
          </w:p>
        </w:tc>
        <w:tc>
          <w:tcPr>
            <w:tcW w:w="5812" w:type="dxa"/>
            <w:gridSpan w:val="2"/>
            <w:tcBorders>
              <w:top w:val="single" w:sz="4" w:space="0" w:color="000000"/>
              <w:left w:val="single" w:sz="4" w:space="0" w:color="000000"/>
              <w:bottom w:val="single" w:sz="6" w:space="0" w:color="000000"/>
              <w:right w:val="single" w:sz="6" w:space="0" w:color="000000"/>
            </w:tcBorders>
            <w:shd w:val="clear" w:color="auto" w:fill="auto"/>
          </w:tcPr>
          <w:p w14:paraId="0043086B" w14:textId="77777777" w:rsidR="004E7B56" w:rsidRDefault="009C5AB4">
            <w:pPr>
              <w:pStyle w:val="Odstavecseseznamem"/>
              <w:tabs>
                <w:tab w:val="left" w:pos="284"/>
                <w:tab w:val="left" w:pos="13892"/>
              </w:tabs>
              <w:spacing w:after="0"/>
              <w:ind w:left="0"/>
            </w:pPr>
            <w:r>
              <w:rPr>
                <w:b/>
                <w:sz w:val="18"/>
                <w:szCs w:val="18"/>
                <w:lang w:val="cs-CZ"/>
              </w:rPr>
              <w:t>Zastupitelstvo MČ Praha - Vinoř, zveřejnění</w:t>
            </w:r>
          </w:p>
        </w:tc>
      </w:tr>
      <w:tr w:rsidR="004E7B56" w14:paraId="7039694D" w14:textId="77777777">
        <w:tc>
          <w:tcPr>
            <w:tcW w:w="9464" w:type="dxa"/>
            <w:gridSpan w:val="3"/>
            <w:tcBorders>
              <w:top w:val="single" w:sz="4" w:space="0" w:color="000000"/>
              <w:left w:val="single" w:sz="6" w:space="0" w:color="000000"/>
              <w:bottom w:val="single" w:sz="6" w:space="0" w:color="000000"/>
              <w:right w:val="single" w:sz="6" w:space="0" w:color="000000"/>
            </w:tcBorders>
            <w:shd w:val="clear" w:color="auto" w:fill="auto"/>
          </w:tcPr>
          <w:p w14:paraId="6038704F" w14:textId="77777777" w:rsidR="004E7B56" w:rsidRDefault="004E7B56">
            <w:pPr>
              <w:pStyle w:val="Odstavecseseznamem"/>
              <w:tabs>
                <w:tab w:val="left" w:pos="284"/>
                <w:tab w:val="left" w:pos="13892"/>
              </w:tabs>
              <w:snapToGrid w:val="0"/>
              <w:spacing w:after="0"/>
              <w:ind w:left="0"/>
              <w:rPr>
                <w:b/>
                <w:sz w:val="8"/>
                <w:szCs w:val="18"/>
                <w:lang w:val="cs-CZ"/>
              </w:rPr>
            </w:pPr>
          </w:p>
        </w:tc>
      </w:tr>
      <w:tr w:rsidR="004E7B56" w14:paraId="665975E3" w14:textId="77777777">
        <w:tc>
          <w:tcPr>
            <w:tcW w:w="3652" w:type="dxa"/>
            <w:tcBorders>
              <w:top w:val="single" w:sz="6" w:space="0" w:color="000000"/>
              <w:left w:val="single" w:sz="4" w:space="0" w:color="000000"/>
              <w:right w:val="single" w:sz="4" w:space="0" w:color="000000"/>
            </w:tcBorders>
            <w:shd w:val="clear" w:color="auto" w:fill="auto"/>
          </w:tcPr>
          <w:p w14:paraId="6589B0AC" w14:textId="77777777" w:rsidR="004E7B56" w:rsidRDefault="009C5AB4">
            <w:pPr>
              <w:pStyle w:val="Odstavecseseznamem"/>
              <w:tabs>
                <w:tab w:val="left" w:pos="284"/>
                <w:tab w:val="left" w:pos="13892"/>
              </w:tabs>
              <w:spacing w:after="0"/>
              <w:ind w:left="0"/>
            </w:pPr>
            <w:r>
              <w:rPr>
                <w:b/>
                <w:sz w:val="18"/>
                <w:szCs w:val="18"/>
                <w:lang w:val="cs-CZ"/>
              </w:rPr>
              <w:t xml:space="preserve">Auditorská společnost: </w:t>
            </w:r>
          </w:p>
        </w:tc>
        <w:tc>
          <w:tcPr>
            <w:tcW w:w="5812" w:type="dxa"/>
            <w:gridSpan w:val="2"/>
            <w:tcBorders>
              <w:top w:val="single" w:sz="6" w:space="0" w:color="000000"/>
              <w:left w:val="single" w:sz="4" w:space="0" w:color="000000"/>
              <w:bottom w:val="single" w:sz="4" w:space="0" w:color="000000"/>
              <w:right w:val="single" w:sz="4" w:space="0" w:color="000000"/>
            </w:tcBorders>
            <w:shd w:val="clear" w:color="auto" w:fill="auto"/>
          </w:tcPr>
          <w:p w14:paraId="6E4BA081" w14:textId="77777777" w:rsidR="004E7B56" w:rsidRDefault="009C5AB4">
            <w:pPr>
              <w:pStyle w:val="Odstavecseseznamem"/>
              <w:tabs>
                <w:tab w:val="left" w:pos="284"/>
                <w:tab w:val="left" w:pos="13892"/>
              </w:tabs>
              <w:spacing w:after="0"/>
              <w:ind w:left="0"/>
            </w:pPr>
            <w:r>
              <w:rPr>
                <w:b/>
                <w:sz w:val="18"/>
                <w:szCs w:val="18"/>
                <w:lang w:val="cs-CZ"/>
              </w:rPr>
              <w:t xml:space="preserve">Nexia AP, a.s.  </w:t>
            </w:r>
          </w:p>
        </w:tc>
      </w:tr>
      <w:tr w:rsidR="004E7B56" w14:paraId="033912F3" w14:textId="77777777">
        <w:tc>
          <w:tcPr>
            <w:tcW w:w="3652" w:type="dxa"/>
            <w:tcBorders>
              <w:left w:val="single" w:sz="4" w:space="0" w:color="000000"/>
              <w:right w:val="single" w:sz="4" w:space="0" w:color="000000"/>
            </w:tcBorders>
            <w:shd w:val="clear" w:color="auto" w:fill="auto"/>
          </w:tcPr>
          <w:p w14:paraId="110C7D94" w14:textId="77777777" w:rsidR="004E7B56" w:rsidRDefault="004E7B56">
            <w:pPr>
              <w:pStyle w:val="Odstavecseseznamem"/>
              <w:tabs>
                <w:tab w:val="left" w:pos="284"/>
                <w:tab w:val="left" w:pos="13892"/>
              </w:tabs>
              <w:snapToGrid w:val="0"/>
              <w:spacing w:after="0"/>
              <w:ind w:left="0"/>
              <w:rPr>
                <w:b/>
                <w:sz w:val="18"/>
                <w:szCs w:val="18"/>
                <w:lang w:val="cs-CZ"/>
              </w:rPr>
            </w:pP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273A50C3" w14:textId="77777777" w:rsidR="004E7B56" w:rsidRDefault="009C5AB4">
            <w:pPr>
              <w:pStyle w:val="Odstavecseseznamem"/>
              <w:tabs>
                <w:tab w:val="left" w:pos="284"/>
                <w:tab w:val="left" w:pos="13892"/>
              </w:tabs>
              <w:spacing w:after="0"/>
              <w:ind w:left="0"/>
            </w:pPr>
            <w:r>
              <w:rPr>
                <w:b/>
                <w:sz w:val="18"/>
                <w:szCs w:val="18"/>
                <w:lang w:val="cs-CZ"/>
              </w:rPr>
              <w:t>Sokolovská 5/49</w:t>
            </w:r>
          </w:p>
        </w:tc>
      </w:tr>
      <w:tr w:rsidR="004E7B56" w14:paraId="1233256C" w14:textId="77777777">
        <w:tc>
          <w:tcPr>
            <w:tcW w:w="3652" w:type="dxa"/>
            <w:tcBorders>
              <w:left w:val="single" w:sz="4" w:space="0" w:color="000000"/>
              <w:right w:val="single" w:sz="4" w:space="0" w:color="000000"/>
            </w:tcBorders>
            <w:shd w:val="clear" w:color="auto" w:fill="auto"/>
          </w:tcPr>
          <w:p w14:paraId="3F989A0B" w14:textId="77777777" w:rsidR="004E7B56" w:rsidRDefault="004E7B56">
            <w:pPr>
              <w:pStyle w:val="Odstavecseseznamem"/>
              <w:tabs>
                <w:tab w:val="left" w:pos="284"/>
                <w:tab w:val="left" w:pos="13892"/>
              </w:tabs>
              <w:snapToGrid w:val="0"/>
              <w:spacing w:after="0"/>
              <w:ind w:left="0"/>
              <w:rPr>
                <w:b/>
                <w:sz w:val="18"/>
                <w:szCs w:val="18"/>
                <w:highlight w:val="lightGray"/>
                <w:lang w:val="cs-CZ"/>
              </w:rPr>
            </w:pP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5C5A6074" w14:textId="77777777" w:rsidR="004E7B56" w:rsidRDefault="009C5AB4">
            <w:pPr>
              <w:pStyle w:val="Odstavecseseznamem"/>
              <w:tabs>
                <w:tab w:val="left" w:pos="284"/>
                <w:tab w:val="left" w:pos="13892"/>
              </w:tabs>
              <w:spacing w:after="0"/>
              <w:ind w:left="0"/>
            </w:pPr>
            <w:r>
              <w:rPr>
                <w:b/>
                <w:sz w:val="18"/>
                <w:szCs w:val="18"/>
                <w:lang w:val="cs-CZ"/>
              </w:rPr>
              <w:t xml:space="preserve">IČO </w:t>
            </w:r>
            <w:r>
              <w:rPr>
                <w:b/>
                <w:sz w:val="18"/>
                <w:szCs w:val="18"/>
              </w:rPr>
              <w:t>48117113</w:t>
            </w:r>
          </w:p>
        </w:tc>
      </w:tr>
      <w:tr w:rsidR="004E7B56" w14:paraId="1279590E" w14:textId="77777777">
        <w:tc>
          <w:tcPr>
            <w:tcW w:w="3652" w:type="dxa"/>
            <w:tcBorders>
              <w:left w:val="single" w:sz="4" w:space="0" w:color="000000"/>
              <w:bottom w:val="single" w:sz="4" w:space="0" w:color="000000"/>
              <w:right w:val="single" w:sz="4" w:space="0" w:color="000000"/>
            </w:tcBorders>
            <w:shd w:val="clear" w:color="auto" w:fill="auto"/>
          </w:tcPr>
          <w:p w14:paraId="4F2F6D8F" w14:textId="77777777" w:rsidR="004E7B56" w:rsidRDefault="004E7B56">
            <w:pPr>
              <w:pStyle w:val="Odstavecseseznamem"/>
              <w:tabs>
                <w:tab w:val="left" w:pos="284"/>
                <w:tab w:val="left" w:pos="13892"/>
              </w:tabs>
              <w:snapToGrid w:val="0"/>
              <w:spacing w:after="0"/>
              <w:ind w:left="0"/>
              <w:rPr>
                <w:b/>
                <w:sz w:val="18"/>
                <w:szCs w:val="18"/>
                <w:highlight w:val="lightGray"/>
                <w:lang w:val="cs-CZ"/>
              </w:rPr>
            </w:pP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698AF22B" w14:textId="2663A4B8" w:rsidR="004E7B56" w:rsidRDefault="009C5AB4">
            <w:pPr>
              <w:pStyle w:val="Odstavecseseznamem"/>
              <w:tabs>
                <w:tab w:val="left" w:pos="284"/>
                <w:tab w:val="left" w:pos="13892"/>
              </w:tabs>
              <w:spacing w:after="0"/>
              <w:ind w:left="0"/>
            </w:pPr>
            <w:r>
              <w:rPr>
                <w:b/>
                <w:sz w:val="18"/>
                <w:szCs w:val="18"/>
                <w:lang w:val="cs-CZ"/>
              </w:rPr>
              <w:t>Evidenční číslo KAČR č.</w:t>
            </w:r>
            <w:r w:rsidR="005954A3">
              <w:rPr>
                <w:b/>
                <w:sz w:val="18"/>
                <w:szCs w:val="18"/>
                <w:lang w:val="cs-CZ"/>
              </w:rPr>
              <w:t>96</w:t>
            </w:r>
          </w:p>
        </w:tc>
      </w:tr>
      <w:tr w:rsidR="004E7B56" w14:paraId="21281E97" w14:textId="77777777">
        <w:trPr>
          <w:trHeight w:val="113"/>
        </w:trPr>
        <w:tc>
          <w:tcPr>
            <w:tcW w:w="9464" w:type="dxa"/>
            <w:gridSpan w:val="3"/>
            <w:tcBorders>
              <w:top w:val="single" w:sz="4" w:space="0" w:color="000000"/>
              <w:left w:val="single" w:sz="4" w:space="0" w:color="000000"/>
              <w:right w:val="single" w:sz="4" w:space="0" w:color="000000"/>
            </w:tcBorders>
            <w:shd w:val="clear" w:color="auto" w:fill="auto"/>
          </w:tcPr>
          <w:p w14:paraId="545A241C" w14:textId="77777777" w:rsidR="004E7B56" w:rsidRDefault="004E7B56">
            <w:pPr>
              <w:pStyle w:val="Odstavecseseznamem"/>
              <w:tabs>
                <w:tab w:val="left" w:pos="284"/>
                <w:tab w:val="left" w:pos="13892"/>
              </w:tabs>
              <w:snapToGrid w:val="0"/>
              <w:spacing w:after="0"/>
              <w:ind w:left="0"/>
              <w:rPr>
                <w:b/>
                <w:sz w:val="8"/>
                <w:szCs w:val="18"/>
                <w:highlight w:val="lightGray"/>
                <w:lang w:val="cs-CZ"/>
              </w:rPr>
            </w:pPr>
          </w:p>
        </w:tc>
      </w:tr>
      <w:tr w:rsidR="004E7B56" w14:paraId="526F6027" w14:textId="77777777">
        <w:tc>
          <w:tcPr>
            <w:tcW w:w="3652" w:type="dxa"/>
            <w:tcBorders>
              <w:top w:val="single" w:sz="4" w:space="0" w:color="000000"/>
              <w:left w:val="single" w:sz="4" w:space="0" w:color="000000"/>
              <w:right w:val="single" w:sz="4" w:space="0" w:color="000000"/>
            </w:tcBorders>
            <w:shd w:val="clear" w:color="auto" w:fill="auto"/>
          </w:tcPr>
          <w:p w14:paraId="1B2A4739" w14:textId="77777777" w:rsidR="004E7B56" w:rsidRDefault="009C5AB4">
            <w:pPr>
              <w:pStyle w:val="Odstavecseseznamem"/>
              <w:tabs>
                <w:tab w:val="left" w:pos="284"/>
                <w:tab w:val="left" w:pos="13892"/>
              </w:tabs>
              <w:spacing w:after="0"/>
              <w:ind w:left="0"/>
            </w:pPr>
            <w:r>
              <w:rPr>
                <w:b/>
                <w:sz w:val="18"/>
                <w:szCs w:val="18"/>
                <w:lang w:val="cs-CZ"/>
              </w:rPr>
              <w:t>Osoby provádějící přezkoumání hospodaření:</w:t>
            </w:r>
          </w:p>
        </w:tc>
        <w:tc>
          <w:tcPr>
            <w:tcW w:w="3969" w:type="dxa"/>
            <w:tcBorders>
              <w:top w:val="single" w:sz="4" w:space="0" w:color="000000"/>
              <w:left w:val="single" w:sz="4" w:space="0" w:color="000000"/>
              <w:bottom w:val="single" w:sz="4" w:space="0" w:color="000000"/>
            </w:tcBorders>
            <w:shd w:val="clear" w:color="auto" w:fill="auto"/>
          </w:tcPr>
          <w:p w14:paraId="3FFB0A4F" w14:textId="5D5DFC29" w:rsidR="004E7B56" w:rsidRDefault="009C5AB4">
            <w:pPr>
              <w:pStyle w:val="Odstavecseseznamem"/>
              <w:tabs>
                <w:tab w:val="left" w:pos="284"/>
                <w:tab w:val="left" w:pos="13892"/>
              </w:tabs>
              <w:spacing w:after="0"/>
              <w:ind w:left="0"/>
              <w:rPr>
                <w:b/>
                <w:sz w:val="18"/>
                <w:szCs w:val="18"/>
                <w:lang w:val="cs-CZ"/>
              </w:rPr>
            </w:pPr>
            <w:r>
              <w:rPr>
                <w:b/>
                <w:sz w:val="18"/>
                <w:szCs w:val="18"/>
                <w:lang w:val="cs-CZ"/>
              </w:rPr>
              <w:t xml:space="preserve">Ing. </w:t>
            </w:r>
            <w:r w:rsidR="00AA467E">
              <w:rPr>
                <w:b/>
                <w:sz w:val="18"/>
                <w:szCs w:val="18"/>
                <w:lang w:val="cs-CZ"/>
              </w:rPr>
              <w:t>Michal Kupsa</w:t>
            </w:r>
            <w:r>
              <w:rPr>
                <w:b/>
                <w:sz w:val="18"/>
                <w:szCs w:val="18"/>
                <w:lang w:val="cs-CZ"/>
              </w:rPr>
              <w:t xml:space="preserve">, auditor </w:t>
            </w:r>
          </w:p>
          <w:p w14:paraId="1CC73FCF" w14:textId="1115EF4E" w:rsidR="004E7B56" w:rsidRDefault="009C5AB4">
            <w:pPr>
              <w:pStyle w:val="Odstavecseseznamem"/>
              <w:tabs>
                <w:tab w:val="left" w:pos="284"/>
                <w:tab w:val="left" w:pos="13892"/>
              </w:tabs>
              <w:spacing w:after="0"/>
              <w:ind w:left="0"/>
              <w:rPr>
                <w:b/>
                <w:sz w:val="18"/>
                <w:szCs w:val="18"/>
                <w:lang w:val="cs-CZ"/>
              </w:rPr>
            </w:pPr>
            <w:r>
              <w:rPr>
                <w:b/>
                <w:sz w:val="18"/>
                <w:szCs w:val="18"/>
                <w:lang w:val="cs-CZ"/>
              </w:rPr>
              <w:t xml:space="preserve">Ing. Vladimír </w:t>
            </w:r>
            <w:r w:rsidR="00FF6C9F">
              <w:rPr>
                <w:b/>
                <w:sz w:val="18"/>
                <w:szCs w:val="18"/>
                <w:lang w:val="cs-CZ"/>
              </w:rPr>
              <w:t>Huňa,</w:t>
            </w:r>
            <w:r w:rsidR="00DA1CAE">
              <w:rPr>
                <w:b/>
                <w:sz w:val="18"/>
                <w:szCs w:val="18"/>
                <w:lang w:val="cs-CZ"/>
              </w:rPr>
              <w:t xml:space="preserve"> manažer auditu</w:t>
            </w:r>
          </w:p>
          <w:p w14:paraId="22E7AA23" w14:textId="77777777" w:rsidR="004E7B56" w:rsidRDefault="009C5AB4">
            <w:pPr>
              <w:pStyle w:val="Odstavecseseznamem"/>
              <w:tabs>
                <w:tab w:val="left" w:pos="284"/>
                <w:tab w:val="left" w:pos="13892"/>
              </w:tabs>
              <w:spacing w:after="0"/>
              <w:ind w:left="0"/>
              <w:rPr>
                <w:b/>
                <w:sz w:val="18"/>
                <w:szCs w:val="18"/>
                <w:lang w:val="cs-CZ"/>
              </w:rPr>
            </w:pPr>
            <w:r>
              <w:rPr>
                <w:b/>
                <w:sz w:val="18"/>
                <w:szCs w:val="18"/>
                <w:lang w:val="cs-CZ"/>
              </w:rPr>
              <w:t>Ing. Zdeněk Řeřucha, asistent auditora</w:t>
            </w:r>
          </w:p>
          <w:p w14:paraId="2C76D490" w14:textId="60ED7314" w:rsidR="004E7B56" w:rsidRDefault="008D5D25">
            <w:pPr>
              <w:pStyle w:val="Odstavecseseznamem"/>
              <w:tabs>
                <w:tab w:val="left" w:pos="284"/>
                <w:tab w:val="left" w:pos="13892"/>
              </w:tabs>
              <w:spacing w:after="0"/>
              <w:ind w:left="0" w:right="-106"/>
              <w:rPr>
                <w:b/>
                <w:sz w:val="18"/>
                <w:szCs w:val="18"/>
                <w:lang w:val="cs-CZ"/>
              </w:rPr>
            </w:pPr>
            <w:r>
              <w:rPr>
                <w:b/>
                <w:sz w:val="18"/>
                <w:szCs w:val="18"/>
                <w:lang w:val="cs-CZ"/>
              </w:rPr>
              <w:t>Bc. Iveta Doskočilová, asistent auditora</w:t>
            </w:r>
          </w:p>
          <w:p w14:paraId="65C5559A" w14:textId="77777777" w:rsidR="004E7B56" w:rsidRDefault="004E7B56">
            <w:pPr>
              <w:pStyle w:val="Odstavecseseznamem"/>
              <w:tabs>
                <w:tab w:val="left" w:pos="284"/>
                <w:tab w:val="left" w:pos="13892"/>
              </w:tabs>
              <w:spacing w:after="0"/>
              <w:ind w:left="0" w:right="-106"/>
              <w:rPr>
                <w:b/>
                <w:sz w:val="18"/>
                <w:szCs w:val="18"/>
                <w:lang w:val="cs-CZ"/>
              </w:rPr>
            </w:pPr>
          </w:p>
        </w:tc>
        <w:tc>
          <w:tcPr>
            <w:tcW w:w="1843" w:type="dxa"/>
            <w:tcBorders>
              <w:top w:val="single" w:sz="4" w:space="0" w:color="000000"/>
              <w:bottom w:val="single" w:sz="4" w:space="0" w:color="000000"/>
              <w:right w:val="single" w:sz="4" w:space="0" w:color="000000"/>
            </w:tcBorders>
            <w:shd w:val="clear" w:color="auto" w:fill="auto"/>
          </w:tcPr>
          <w:p w14:paraId="5E71E51D" w14:textId="77777777" w:rsidR="004E7B56" w:rsidRDefault="004E7B56">
            <w:pPr>
              <w:pStyle w:val="Odstavecseseznamem"/>
              <w:tabs>
                <w:tab w:val="left" w:pos="284"/>
                <w:tab w:val="left" w:pos="13892"/>
              </w:tabs>
              <w:snapToGrid w:val="0"/>
              <w:spacing w:after="0"/>
              <w:ind w:left="0"/>
              <w:rPr>
                <w:b/>
                <w:sz w:val="18"/>
                <w:szCs w:val="18"/>
                <w:lang w:val="cs-CZ"/>
              </w:rPr>
            </w:pPr>
          </w:p>
        </w:tc>
      </w:tr>
      <w:tr w:rsidR="004E7B56" w14:paraId="4A73A9F3" w14:textId="77777777">
        <w:tc>
          <w:tcPr>
            <w:tcW w:w="9464" w:type="dxa"/>
            <w:gridSpan w:val="3"/>
            <w:tcBorders>
              <w:top w:val="single" w:sz="4" w:space="0" w:color="000000"/>
              <w:left w:val="single" w:sz="4" w:space="0" w:color="000000"/>
              <w:bottom w:val="single" w:sz="4" w:space="0" w:color="000000"/>
              <w:right w:val="single" w:sz="4" w:space="0" w:color="000000"/>
            </w:tcBorders>
            <w:shd w:val="clear" w:color="auto" w:fill="auto"/>
          </w:tcPr>
          <w:p w14:paraId="15C8911C" w14:textId="77777777" w:rsidR="004E7B56" w:rsidRDefault="004E7B56">
            <w:pPr>
              <w:pStyle w:val="Odstavecseseznamem"/>
              <w:tabs>
                <w:tab w:val="left" w:pos="284"/>
                <w:tab w:val="left" w:pos="13892"/>
              </w:tabs>
              <w:snapToGrid w:val="0"/>
              <w:spacing w:after="0"/>
              <w:ind w:left="0"/>
              <w:rPr>
                <w:b/>
                <w:sz w:val="8"/>
                <w:szCs w:val="18"/>
                <w:lang w:val="cs-CZ"/>
              </w:rPr>
            </w:pPr>
          </w:p>
        </w:tc>
      </w:tr>
      <w:tr w:rsidR="004E7B56" w14:paraId="3D8837E7"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524BB3C1" w14:textId="77777777" w:rsidR="004E7B56" w:rsidRDefault="009C5AB4">
            <w:pPr>
              <w:pStyle w:val="Odstavecseseznamem"/>
              <w:tabs>
                <w:tab w:val="left" w:pos="284"/>
                <w:tab w:val="left" w:pos="13892"/>
              </w:tabs>
              <w:spacing w:after="0"/>
              <w:ind w:left="0"/>
            </w:pPr>
            <w:r>
              <w:rPr>
                <w:b/>
                <w:sz w:val="18"/>
                <w:szCs w:val="18"/>
                <w:lang w:val="cs-CZ"/>
              </w:rPr>
              <w:t>Vymezení pravomoci auditora k provedení přezkoumání hospodaření územního celku:</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3D3BE335" w14:textId="77777777" w:rsidR="004E7B56" w:rsidRDefault="009C5AB4">
            <w:pPr>
              <w:pStyle w:val="Odstavecseseznamem"/>
              <w:tabs>
                <w:tab w:val="left" w:pos="284"/>
                <w:tab w:val="left" w:pos="13892"/>
              </w:tabs>
              <w:spacing w:after="0"/>
              <w:ind w:left="0"/>
            </w:pPr>
            <w:r>
              <w:rPr>
                <w:b/>
                <w:sz w:val="18"/>
                <w:szCs w:val="18"/>
                <w:lang w:val="cs-CZ"/>
              </w:rPr>
              <w:t>Auditorská společnost provedla přezkoumání hospodaření městské části Praha - Vinoř v souladu s ustanovením § 4 odst. 7 zákona č. 420/2004 Sb., ustanovením § 2 písm. c) zákona č. 93/2009 Sb., o auditorech a o změně některých zákonů, ve znění pozdějších předpisů.</w:t>
            </w:r>
          </w:p>
        </w:tc>
      </w:tr>
      <w:tr w:rsidR="004E7B56" w14:paraId="711BE896" w14:textId="77777777">
        <w:tc>
          <w:tcPr>
            <w:tcW w:w="9464" w:type="dxa"/>
            <w:gridSpan w:val="3"/>
            <w:tcBorders>
              <w:top w:val="single" w:sz="4" w:space="0" w:color="000000"/>
              <w:left w:val="single" w:sz="4" w:space="0" w:color="000000"/>
              <w:bottom w:val="single" w:sz="4" w:space="0" w:color="000000"/>
              <w:right w:val="single" w:sz="4" w:space="0" w:color="000000"/>
            </w:tcBorders>
            <w:shd w:val="clear" w:color="auto" w:fill="auto"/>
          </w:tcPr>
          <w:p w14:paraId="2DD575FB" w14:textId="77777777" w:rsidR="004E7B56" w:rsidRDefault="004E7B56">
            <w:pPr>
              <w:pStyle w:val="Odstavecseseznamem"/>
              <w:tabs>
                <w:tab w:val="left" w:pos="284"/>
                <w:tab w:val="left" w:pos="13892"/>
              </w:tabs>
              <w:snapToGrid w:val="0"/>
              <w:spacing w:after="0"/>
              <w:ind w:left="0"/>
              <w:rPr>
                <w:b/>
                <w:sz w:val="8"/>
                <w:szCs w:val="18"/>
                <w:lang w:val="cs-CZ"/>
              </w:rPr>
            </w:pPr>
          </w:p>
        </w:tc>
      </w:tr>
      <w:tr w:rsidR="004E7B56" w14:paraId="730739F2"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56B6AA7E" w14:textId="77777777" w:rsidR="004E7B56" w:rsidRDefault="009C5AB4">
            <w:pPr>
              <w:pStyle w:val="Odstavecseseznamem"/>
              <w:tabs>
                <w:tab w:val="left" w:pos="284"/>
                <w:tab w:val="left" w:pos="13892"/>
              </w:tabs>
              <w:spacing w:after="0"/>
              <w:ind w:left="0"/>
            </w:pPr>
            <w:r>
              <w:rPr>
                <w:b/>
                <w:sz w:val="18"/>
                <w:szCs w:val="18"/>
                <w:lang w:val="cs-CZ"/>
              </w:rPr>
              <w:t>Datum vyhotovení zprávy:</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38B7821C" w14:textId="6CC49158" w:rsidR="004E7B56" w:rsidRDefault="00464475">
            <w:pPr>
              <w:pStyle w:val="Odstavecseseznamem"/>
              <w:tabs>
                <w:tab w:val="left" w:pos="284"/>
                <w:tab w:val="left" w:pos="13892"/>
              </w:tabs>
              <w:spacing w:after="0"/>
              <w:ind w:left="0"/>
            </w:pPr>
            <w:r>
              <w:rPr>
                <w:b/>
                <w:color w:val="000000" w:themeColor="text1"/>
                <w:sz w:val="18"/>
                <w:szCs w:val="18"/>
                <w:lang w:val="cs-CZ"/>
              </w:rPr>
              <w:t>11</w:t>
            </w:r>
            <w:r w:rsidR="0055249F" w:rsidRPr="0055249F">
              <w:rPr>
                <w:b/>
                <w:color w:val="000000" w:themeColor="text1"/>
                <w:sz w:val="18"/>
                <w:szCs w:val="18"/>
                <w:lang w:val="cs-CZ"/>
              </w:rPr>
              <w:t>.</w:t>
            </w:r>
            <w:r>
              <w:rPr>
                <w:b/>
                <w:color w:val="000000" w:themeColor="text1"/>
                <w:sz w:val="18"/>
                <w:szCs w:val="18"/>
                <w:lang w:val="cs-CZ"/>
              </w:rPr>
              <w:t xml:space="preserve"> </w:t>
            </w:r>
            <w:r w:rsidR="0055249F" w:rsidRPr="0055249F">
              <w:rPr>
                <w:b/>
                <w:color w:val="000000" w:themeColor="text1"/>
                <w:sz w:val="18"/>
                <w:szCs w:val="18"/>
                <w:lang w:val="cs-CZ"/>
              </w:rPr>
              <w:t>4.</w:t>
            </w:r>
            <w:r>
              <w:rPr>
                <w:b/>
                <w:color w:val="000000" w:themeColor="text1"/>
                <w:sz w:val="18"/>
                <w:szCs w:val="18"/>
                <w:lang w:val="cs-CZ"/>
              </w:rPr>
              <w:t xml:space="preserve"> </w:t>
            </w:r>
            <w:r w:rsidR="0055249F" w:rsidRPr="0055249F">
              <w:rPr>
                <w:b/>
                <w:color w:val="000000" w:themeColor="text1"/>
                <w:sz w:val="18"/>
                <w:szCs w:val="18"/>
                <w:lang w:val="cs-CZ"/>
              </w:rPr>
              <w:t>202</w:t>
            </w:r>
            <w:r w:rsidR="008D5D25" w:rsidRPr="0055249F">
              <w:rPr>
                <w:b/>
                <w:color w:val="000000" w:themeColor="text1"/>
                <w:sz w:val="18"/>
                <w:szCs w:val="18"/>
                <w:lang w:val="cs-CZ"/>
              </w:rPr>
              <w:t>5</w:t>
            </w:r>
          </w:p>
        </w:tc>
      </w:tr>
    </w:tbl>
    <w:p w14:paraId="7746E795" w14:textId="77777777" w:rsidR="004E7B56" w:rsidRDefault="009C5AB4">
      <w:pPr>
        <w:pStyle w:val="Nadpis1"/>
        <w:pageBreakBefore/>
        <w:rPr>
          <w:szCs w:val="18"/>
        </w:rPr>
      </w:pPr>
      <w:r>
        <w:lastRenderedPageBreak/>
        <w:t>Popis přezkoumání</w:t>
      </w:r>
    </w:p>
    <w:p w14:paraId="762F23E8" w14:textId="1F12810D" w:rsidR="004E7B56" w:rsidRDefault="009C5AB4">
      <w:pPr>
        <w:tabs>
          <w:tab w:val="left" w:pos="6804"/>
        </w:tabs>
        <w:spacing w:after="120" w:line="360" w:lineRule="auto"/>
      </w:pPr>
      <w:r>
        <w:rPr>
          <w:szCs w:val="18"/>
        </w:rPr>
        <w:t>Přezkoumání hospodaření územního samosprávného celku za rok 202</w:t>
      </w:r>
      <w:r w:rsidR="008D5D25">
        <w:rPr>
          <w:szCs w:val="18"/>
        </w:rPr>
        <w:t>4</w:t>
      </w:r>
      <w:r>
        <w:rPr>
          <w:szCs w:val="18"/>
        </w:rPr>
        <w:t xml:space="preserve"> bylo provedeno na základě Smlouvy o provedení přezkoumání hospodaření účetní závěrky uzavřené dne 19.10.2023 mezi Městskou částí Praha Vinoř a společností </w:t>
      </w:r>
      <w:r>
        <w:rPr>
          <w:b/>
          <w:szCs w:val="18"/>
        </w:rPr>
        <w:t>NEXIA AP a.s.</w:t>
      </w:r>
    </w:p>
    <w:p w14:paraId="098160F6" w14:textId="77777777" w:rsidR="004E7B56" w:rsidRDefault="009C5AB4">
      <w:pPr>
        <w:pStyle w:val="Nadpis2"/>
        <w:rPr>
          <w:szCs w:val="18"/>
        </w:rPr>
      </w:pPr>
      <w:bookmarkStart w:id="0" w:name="_Ref319842545"/>
      <w:r>
        <w:t>Předmět přezkoumání</w:t>
      </w:r>
      <w:bookmarkEnd w:id="0"/>
    </w:p>
    <w:p w14:paraId="43718393" w14:textId="77777777" w:rsidR="004E7B56" w:rsidRDefault="009C5AB4">
      <w:pPr>
        <w:tabs>
          <w:tab w:val="left" w:pos="6804"/>
        </w:tabs>
        <w:spacing w:after="120" w:line="360" w:lineRule="auto"/>
        <w:rPr>
          <w:szCs w:val="18"/>
        </w:rPr>
      </w:pPr>
      <w:r>
        <w:rPr>
          <w:szCs w:val="18"/>
        </w:rPr>
        <w:t xml:space="preserve">Předmětem přezkoumání jsou podle ustanovení §2 odst. 1 zákona č. 420/2004 Sb., </w:t>
      </w:r>
      <w:r>
        <w:rPr>
          <w:rFonts w:hint="eastAsia"/>
          <w:szCs w:val="18"/>
        </w:rPr>
        <w:t>ú</w:t>
      </w:r>
      <w:r>
        <w:rPr>
          <w:szCs w:val="18"/>
        </w:rPr>
        <w:t>daje o ročním hospodaření, tvoř</w:t>
      </w:r>
      <w:r>
        <w:rPr>
          <w:rFonts w:hint="eastAsia"/>
          <w:szCs w:val="18"/>
        </w:rPr>
        <w:t>í</w:t>
      </w:r>
      <w:r>
        <w:rPr>
          <w:szCs w:val="18"/>
        </w:rPr>
        <w:t>cí souč</w:t>
      </w:r>
      <w:r>
        <w:rPr>
          <w:rFonts w:hint="eastAsia"/>
          <w:szCs w:val="18"/>
        </w:rPr>
        <w:t>á</w:t>
      </w:r>
      <w:r>
        <w:rPr>
          <w:szCs w:val="18"/>
        </w:rPr>
        <w:t>st závěrečného účtu podle §17 odst. 2 a 3 zákona č. 250/2000 Sb., o rozpočtových pravidlech územních rozpočtů, ve znění pozdějších předpisů, a to:</w:t>
      </w:r>
    </w:p>
    <w:p w14:paraId="74D17FCE" w14:textId="77777777" w:rsidR="004E7B56" w:rsidRDefault="009C5AB4">
      <w:pPr>
        <w:numPr>
          <w:ilvl w:val="0"/>
          <w:numId w:val="9"/>
        </w:numPr>
        <w:spacing w:after="60" w:line="360" w:lineRule="auto"/>
        <w:ind w:left="714" w:hanging="357"/>
        <w:rPr>
          <w:szCs w:val="18"/>
        </w:rPr>
      </w:pPr>
      <w:r>
        <w:rPr>
          <w:szCs w:val="18"/>
        </w:rPr>
        <w:t>pln</w:t>
      </w:r>
      <w:r>
        <w:rPr>
          <w:rFonts w:cs="Calibri"/>
          <w:szCs w:val="18"/>
        </w:rPr>
        <w:t>ě</w:t>
      </w:r>
      <w:r>
        <w:rPr>
          <w:szCs w:val="18"/>
        </w:rPr>
        <w:t>ní p</w:t>
      </w:r>
      <w:r>
        <w:rPr>
          <w:rFonts w:cs="Calibri"/>
          <w:szCs w:val="18"/>
        </w:rPr>
        <w:t>ř</w:t>
      </w:r>
      <w:r>
        <w:rPr>
          <w:rFonts w:hint="eastAsia"/>
          <w:szCs w:val="18"/>
        </w:rPr>
        <w:t>í</w:t>
      </w:r>
      <w:r>
        <w:rPr>
          <w:szCs w:val="18"/>
        </w:rPr>
        <w:t>jm</w:t>
      </w:r>
      <w:r>
        <w:rPr>
          <w:rFonts w:cs="Calibri"/>
          <w:szCs w:val="18"/>
        </w:rPr>
        <w:t>ů</w:t>
      </w:r>
      <w:r>
        <w:rPr>
          <w:szCs w:val="18"/>
        </w:rPr>
        <w:t xml:space="preserve"> a výdaj</w:t>
      </w:r>
      <w:r>
        <w:rPr>
          <w:rFonts w:cs="Calibri"/>
          <w:szCs w:val="18"/>
        </w:rPr>
        <w:t>ů</w:t>
      </w:r>
      <w:r>
        <w:rPr>
          <w:szCs w:val="18"/>
        </w:rPr>
        <w:t xml:space="preserve"> rozpo</w:t>
      </w:r>
      <w:r>
        <w:rPr>
          <w:rFonts w:cs="Calibri"/>
          <w:szCs w:val="18"/>
        </w:rPr>
        <w:t>č</w:t>
      </w:r>
      <w:r>
        <w:rPr>
          <w:szCs w:val="18"/>
        </w:rPr>
        <w:t>tu v</w:t>
      </w:r>
      <w:r>
        <w:rPr>
          <w:rFonts w:cs="Calibri"/>
          <w:szCs w:val="18"/>
        </w:rPr>
        <w:t>č</w:t>
      </w:r>
      <w:r>
        <w:rPr>
          <w:szCs w:val="18"/>
        </w:rPr>
        <w:t>etn</w:t>
      </w:r>
      <w:r>
        <w:rPr>
          <w:rFonts w:cs="Calibri"/>
          <w:szCs w:val="18"/>
        </w:rPr>
        <w:t>ě</w:t>
      </w:r>
      <w:r>
        <w:rPr>
          <w:szCs w:val="18"/>
        </w:rPr>
        <w:t xml:space="preserve"> pen</w:t>
      </w:r>
      <w:r>
        <w:rPr>
          <w:rFonts w:cs="Calibri"/>
          <w:szCs w:val="18"/>
        </w:rPr>
        <w:t>ě</w:t>
      </w:r>
      <w:r>
        <w:rPr>
          <w:rFonts w:hint="eastAsia"/>
          <w:szCs w:val="18"/>
        </w:rPr>
        <w:t>ž</w:t>
      </w:r>
      <w:r>
        <w:rPr>
          <w:szCs w:val="18"/>
        </w:rPr>
        <w:t>ních operací, týkajících se rozpo</w:t>
      </w:r>
      <w:r>
        <w:rPr>
          <w:rFonts w:cs="Calibri"/>
          <w:szCs w:val="18"/>
        </w:rPr>
        <w:t>č</w:t>
      </w:r>
      <w:r>
        <w:rPr>
          <w:szCs w:val="18"/>
        </w:rPr>
        <w:t>tových prostředků,</w:t>
      </w:r>
    </w:p>
    <w:p w14:paraId="24210723" w14:textId="77777777" w:rsidR="004E7B56" w:rsidRDefault="009C5AB4">
      <w:pPr>
        <w:numPr>
          <w:ilvl w:val="0"/>
          <w:numId w:val="9"/>
        </w:numPr>
        <w:spacing w:after="60" w:line="360" w:lineRule="auto"/>
        <w:ind w:left="714" w:hanging="357"/>
        <w:rPr>
          <w:szCs w:val="18"/>
        </w:rPr>
      </w:pPr>
      <w:r>
        <w:rPr>
          <w:szCs w:val="18"/>
        </w:rPr>
        <w:t>finan</w:t>
      </w:r>
      <w:r>
        <w:rPr>
          <w:rFonts w:cs="Calibri"/>
          <w:szCs w:val="18"/>
        </w:rPr>
        <w:t>č</w:t>
      </w:r>
      <w:r>
        <w:rPr>
          <w:szCs w:val="18"/>
        </w:rPr>
        <w:t>ní operace, týkající se tvorby a použití pen</w:t>
      </w:r>
      <w:r>
        <w:rPr>
          <w:rFonts w:cs="Calibri"/>
          <w:szCs w:val="18"/>
        </w:rPr>
        <w:t>ě</w:t>
      </w:r>
      <w:r>
        <w:rPr>
          <w:rFonts w:hint="eastAsia"/>
          <w:szCs w:val="18"/>
        </w:rPr>
        <w:t>ž</w:t>
      </w:r>
      <w:r>
        <w:rPr>
          <w:szCs w:val="18"/>
        </w:rPr>
        <w:t>ních fond</w:t>
      </w:r>
      <w:r>
        <w:rPr>
          <w:rFonts w:cs="Calibri"/>
          <w:szCs w:val="18"/>
        </w:rPr>
        <w:t>ů</w:t>
      </w:r>
      <w:r>
        <w:rPr>
          <w:szCs w:val="18"/>
        </w:rPr>
        <w:t>,</w:t>
      </w:r>
    </w:p>
    <w:p w14:paraId="221B8296" w14:textId="77777777" w:rsidR="004E7B56" w:rsidRDefault="009C5AB4">
      <w:pPr>
        <w:numPr>
          <w:ilvl w:val="0"/>
          <w:numId w:val="9"/>
        </w:numPr>
        <w:spacing w:after="60" w:line="360" w:lineRule="auto"/>
        <w:ind w:left="714" w:hanging="357"/>
        <w:rPr>
          <w:szCs w:val="18"/>
        </w:rPr>
      </w:pPr>
      <w:r>
        <w:rPr>
          <w:szCs w:val="18"/>
        </w:rPr>
        <w:t>náklady a výnosy podnikatelské činnosti územního celku,</w:t>
      </w:r>
    </w:p>
    <w:p w14:paraId="146D892A" w14:textId="77777777" w:rsidR="004E7B56" w:rsidRDefault="009C5AB4">
      <w:pPr>
        <w:numPr>
          <w:ilvl w:val="0"/>
          <w:numId w:val="9"/>
        </w:numPr>
        <w:spacing w:after="60" w:line="360" w:lineRule="auto"/>
        <w:ind w:left="714" w:hanging="357"/>
        <w:rPr>
          <w:szCs w:val="18"/>
        </w:rPr>
      </w:pPr>
      <w:r>
        <w:rPr>
          <w:szCs w:val="18"/>
        </w:rPr>
        <w:t>peně</w:t>
      </w:r>
      <w:r>
        <w:rPr>
          <w:rFonts w:hint="eastAsia"/>
          <w:szCs w:val="18"/>
        </w:rPr>
        <w:t>ž</w:t>
      </w:r>
      <w:r>
        <w:rPr>
          <w:szCs w:val="18"/>
        </w:rPr>
        <w:t>ní operace, týkající se sdružených prostředků vynakládaných na základ</w:t>
      </w:r>
      <w:r>
        <w:rPr>
          <w:rFonts w:cs="Calibri"/>
          <w:szCs w:val="18"/>
        </w:rPr>
        <w:t>ě</w:t>
      </w:r>
      <w:r>
        <w:rPr>
          <w:szCs w:val="18"/>
        </w:rPr>
        <w:t xml:space="preserve"> smlouvy mezi dv</w:t>
      </w:r>
      <w:r>
        <w:rPr>
          <w:rFonts w:cs="Calibri"/>
          <w:szCs w:val="18"/>
        </w:rPr>
        <w:t>ě</w:t>
      </w:r>
      <w:r>
        <w:rPr>
          <w:szCs w:val="18"/>
        </w:rPr>
        <w:t>ma nebo více územními celky, anebo na základ</w:t>
      </w:r>
      <w:r>
        <w:rPr>
          <w:rFonts w:cs="Calibri"/>
          <w:szCs w:val="18"/>
        </w:rPr>
        <w:t>ě</w:t>
      </w:r>
      <w:r>
        <w:rPr>
          <w:szCs w:val="18"/>
        </w:rPr>
        <w:t xml:space="preserve"> smlouvy s jinými právnickými nebo fyzickými osobami,</w:t>
      </w:r>
    </w:p>
    <w:p w14:paraId="4933CD79" w14:textId="77777777" w:rsidR="004E7B56" w:rsidRDefault="009C5AB4">
      <w:pPr>
        <w:numPr>
          <w:ilvl w:val="0"/>
          <w:numId w:val="9"/>
        </w:numPr>
        <w:spacing w:after="60" w:line="360" w:lineRule="auto"/>
        <w:ind w:left="714" w:hanging="357"/>
        <w:rPr>
          <w:szCs w:val="18"/>
        </w:rPr>
      </w:pPr>
      <w:r>
        <w:rPr>
          <w:szCs w:val="18"/>
        </w:rPr>
        <w:t>finan</w:t>
      </w:r>
      <w:r>
        <w:rPr>
          <w:rFonts w:cs="Calibri"/>
          <w:szCs w:val="18"/>
        </w:rPr>
        <w:t>č</w:t>
      </w:r>
      <w:r>
        <w:rPr>
          <w:szCs w:val="18"/>
        </w:rPr>
        <w:t>ní operace, týkající se cizích zdroj</w:t>
      </w:r>
      <w:r>
        <w:rPr>
          <w:rFonts w:cs="Calibri"/>
          <w:szCs w:val="18"/>
        </w:rPr>
        <w:t>ů</w:t>
      </w:r>
      <w:r>
        <w:rPr>
          <w:szCs w:val="18"/>
        </w:rPr>
        <w:t xml:space="preserve"> ve smyslu právních p</w:t>
      </w:r>
      <w:r>
        <w:rPr>
          <w:rFonts w:cs="Calibri"/>
          <w:szCs w:val="18"/>
        </w:rPr>
        <w:t>ř</w:t>
      </w:r>
      <w:r>
        <w:rPr>
          <w:szCs w:val="18"/>
        </w:rPr>
        <w:t>edpis</w:t>
      </w:r>
      <w:r>
        <w:rPr>
          <w:rFonts w:cs="Calibri"/>
          <w:szCs w:val="18"/>
        </w:rPr>
        <w:t>ů</w:t>
      </w:r>
      <w:r>
        <w:rPr>
          <w:szCs w:val="18"/>
        </w:rPr>
        <w:t xml:space="preserve"> o </w:t>
      </w:r>
      <w:r>
        <w:rPr>
          <w:rFonts w:hint="eastAsia"/>
          <w:szCs w:val="18"/>
        </w:rPr>
        <w:t>ú</w:t>
      </w:r>
      <w:r>
        <w:rPr>
          <w:rFonts w:cs="Calibri"/>
          <w:szCs w:val="18"/>
        </w:rPr>
        <w:t>č</w:t>
      </w:r>
      <w:r>
        <w:rPr>
          <w:szCs w:val="18"/>
        </w:rPr>
        <w:t>etnictví,</w:t>
      </w:r>
    </w:p>
    <w:p w14:paraId="635E8428" w14:textId="77777777" w:rsidR="004E7B56" w:rsidRDefault="009C5AB4">
      <w:pPr>
        <w:numPr>
          <w:ilvl w:val="0"/>
          <w:numId w:val="9"/>
        </w:numPr>
        <w:spacing w:after="60" w:line="360" w:lineRule="auto"/>
        <w:ind w:left="714" w:hanging="357"/>
        <w:rPr>
          <w:szCs w:val="18"/>
        </w:rPr>
      </w:pPr>
      <w:r>
        <w:rPr>
          <w:szCs w:val="18"/>
        </w:rPr>
        <w:t>hospoda</w:t>
      </w:r>
      <w:r>
        <w:rPr>
          <w:rFonts w:cs="Calibri"/>
          <w:szCs w:val="18"/>
        </w:rPr>
        <w:t>ř</w:t>
      </w:r>
      <w:r>
        <w:rPr>
          <w:szCs w:val="18"/>
        </w:rPr>
        <w:t>ení a nakládání s prostředky poskytnutými z Národního fondu a s dalšími prostředky ze zahrani</w:t>
      </w:r>
      <w:r>
        <w:rPr>
          <w:rFonts w:cs="Calibri"/>
          <w:szCs w:val="18"/>
        </w:rPr>
        <w:t>č</w:t>
      </w:r>
      <w:r>
        <w:rPr>
          <w:rFonts w:hint="eastAsia"/>
          <w:szCs w:val="18"/>
        </w:rPr>
        <w:t>í</w:t>
      </w:r>
      <w:r>
        <w:rPr>
          <w:szCs w:val="18"/>
        </w:rPr>
        <w:t xml:space="preserve"> poskytnutými na základ</w:t>
      </w:r>
      <w:r>
        <w:rPr>
          <w:rFonts w:cs="Calibri"/>
          <w:szCs w:val="18"/>
        </w:rPr>
        <w:t>ě</w:t>
      </w:r>
      <w:r>
        <w:rPr>
          <w:szCs w:val="18"/>
        </w:rPr>
        <w:t xml:space="preserve"> mezinárodních smluv,</w:t>
      </w:r>
    </w:p>
    <w:p w14:paraId="3C00CD45" w14:textId="77777777" w:rsidR="004E7B56" w:rsidRDefault="009C5AB4">
      <w:pPr>
        <w:numPr>
          <w:ilvl w:val="0"/>
          <w:numId w:val="9"/>
        </w:numPr>
        <w:spacing w:after="60" w:line="360" w:lineRule="auto"/>
        <w:ind w:left="714" w:hanging="357"/>
        <w:rPr>
          <w:szCs w:val="18"/>
        </w:rPr>
      </w:pPr>
      <w:r>
        <w:rPr>
          <w:szCs w:val="18"/>
        </w:rPr>
        <w:t>vyú</w:t>
      </w:r>
      <w:r>
        <w:rPr>
          <w:rFonts w:cs="Calibri"/>
          <w:szCs w:val="18"/>
        </w:rPr>
        <w:t>č</w:t>
      </w:r>
      <w:r>
        <w:rPr>
          <w:szCs w:val="18"/>
        </w:rPr>
        <w:t>tování a vypo</w:t>
      </w:r>
      <w:r>
        <w:rPr>
          <w:rFonts w:cs="Calibri"/>
          <w:szCs w:val="18"/>
        </w:rPr>
        <w:t>ř</w:t>
      </w:r>
      <w:r>
        <w:rPr>
          <w:rFonts w:hint="eastAsia"/>
          <w:szCs w:val="18"/>
        </w:rPr>
        <w:t>á</w:t>
      </w:r>
      <w:r>
        <w:rPr>
          <w:szCs w:val="18"/>
        </w:rPr>
        <w:t>dání finan</w:t>
      </w:r>
      <w:r>
        <w:rPr>
          <w:rFonts w:cs="Calibri"/>
          <w:szCs w:val="18"/>
        </w:rPr>
        <w:t>č</w:t>
      </w:r>
      <w:r>
        <w:rPr>
          <w:szCs w:val="18"/>
        </w:rPr>
        <w:t>ních vztah</w:t>
      </w:r>
      <w:r>
        <w:rPr>
          <w:rFonts w:cs="Calibri"/>
          <w:szCs w:val="18"/>
        </w:rPr>
        <w:t>ů</w:t>
      </w:r>
      <w:r>
        <w:rPr>
          <w:szCs w:val="18"/>
        </w:rPr>
        <w:t xml:space="preserve"> ke státnímu rozpo</w:t>
      </w:r>
      <w:r>
        <w:rPr>
          <w:rFonts w:cs="Calibri"/>
          <w:szCs w:val="18"/>
        </w:rPr>
        <w:t>č</w:t>
      </w:r>
      <w:r>
        <w:rPr>
          <w:szCs w:val="18"/>
        </w:rPr>
        <w:t>tu, k rozpo</w:t>
      </w:r>
      <w:r>
        <w:rPr>
          <w:rFonts w:cs="Calibri"/>
          <w:szCs w:val="18"/>
        </w:rPr>
        <w:t>č</w:t>
      </w:r>
      <w:r>
        <w:rPr>
          <w:szCs w:val="18"/>
        </w:rPr>
        <w:t>t</w:t>
      </w:r>
      <w:r>
        <w:rPr>
          <w:rFonts w:cs="Calibri"/>
          <w:szCs w:val="18"/>
        </w:rPr>
        <w:t>ů</w:t>
      </w:r>
      <w:r>
        <w:rPr>
          <w:szCs w:val="18"/>
        </w:rPr>
        <w:t>m kraj</w:t>
      </w:r>
      <w:r>
        <w:rPr>
          <w:rFonts w:cs="Calibri"/>
          <w:szCs w:val="18"/>
        </w:rPr>
        <w:t>ů</w:t>
      </w:r>
      <w:r>
        <w:rPr>
          <w:szCs w:val="18"/>
        </w:rPr>
        <w:t>, k rozpo</w:t>
      </w:r>
      <w:r>
        <w:rPr>
          <w:rFonts w:cs="Calibri"/>
          <w:szCs w:val="18"/>
        </w:rPr>
        <w:t>č</w:t>
      </w:r>
      <w:r>
        <w:rPr>
          <w:szCs w:val="18"/>
        </w:rPr>
        <w:t>t</w:t>
      </w:r>
      <w:r>
        <w:rPr>
          <w:rFonts w:cs="Calibri"/>
          <w:szCs w:val="18"/>
        </w:rPr>
        <w:t>ů</w:t>
      </w:r>
      <w:r>
        <w:rPr>
          <w:szCs w:val="18"/>
        </w:rPr>
        <w:t>m obcí, k jiným rozpo</w:t>
      </w:r>
      <w:r>
        <w:rPr>
          <w:rFonts w:cs="Calibri"/>
          <w:szCs w:val="18"/>
        </w:rPr>
        <w:t>č</w:t>
      </w:r>
      <w:r>
        <w:rPr>
          <w:szCs w:val="18"/>
        </w:rPr>
        <w:t>t</w:t>
      </w:r>
      <w:r>
        <w:rPr>
          <w:rFonts w:cs="Calibri"/>
          <w:szCs w:val="18"/>
        </w:rPr>
        <w:t>ů</w:t>
      </w:r>
      <w:r>
        <w:rPr>
          <w:szCs w:val="18"/>
        </w:rPr>
        <w:t>m, ke státním fond</w:t>
      </w:r>
      <w:r>
        <w:rPr>
          <w:rFonts w:cs="Calibri"/>
          <w:szCs w:val="18"/>
        </w:rPr>
        <w:t>ů</w:t>
      </w:r>
      <w:r>
        <w:rPr>
          <w:szCs w:val="18"/>
        </w:rPr>
        <w:t>m a k dalším osobám.</w:t>
      </w:r>
    </w:p>
    <w:p w14:paraId="05CFA8A3" w14:textId="77777777" w:rsidR="004E7B56" w:rsidRDefault="009C5AB4">
      <w:pPr>
        <w:rPr>
          <w:szCs w:val="18"/>
        </w:rPr>
      </w:pPr>
      <w:r>
        <w:rPr>
          <w:szCs w:val="18"/>
        </w:rPr>
        <w:t>P</w:t>
      </w:r>
      <w:r>
        <w:rPr>
          <w:rFonts w:cs="Calibri"/>
          <w:szCs w:val="18"/>
        </w:rPr>
        <w:t>ř</w:t>
      </w:r>
      <w:r>
        <w:rPr>
          <w:szCs w:val="18"/>
        </w:rPr>
        <w:t>edm</w:t>
      </w:r>
      <w:r>
        <w:rPr>
          <w:rFonts w:cs="Calibri"/>
          <w:szCs w:val="18"/>
        </w:rPr>
        <w:t>ě</w:t>
      </w:r>
      <w:r>
        <w:rPr>
          <w:szCs w:val="18"/>
        </w:rPr>
        <w:t>tem p</w:t>
      </w:r>
      <w:r>
        <w:rPr>
          <w:rFonts w:cs="Calibri"/>
          <w:szCs w:val="18"/>
        </w:rPr>
        <w:t>ř</w:t>
      </w:r>
      <w:r>
        <w:rPr>
          <w:szCs w:val="18"/>
        </w:rPr>
        <w:t xml:space="preserve">ezkoumání v souladu s ustanovením § 2 odst. 2 zákona </w:t>
      </w:r>
      <w:r>
        <w:rPr>
          <w:rFonts w:cs="Calibri"/>
          <w:szCs w:val="18"/>
        </w:rPr>
        <w:t>č</w:t>
      </w:r>
      <w:r>
        <w:rPr>
          <w:szCs w:val="18"/>
        </w:rPr>
        <w:t>. 420/2004 Sb. jsou dále oblasti:</w:t>
      </w:r>
    </w:p>
    <w:p w14:paraId="0A851D28" w14:textId="77777777" w:rsidR="004E7B56" w:rsidRDefault="009C5AB4">
      <w:pPr>
        <w:numPr>
          <w:ilvl w:val="0"/>
          <w:numId w:val="8"/>
        </w:numPr>
        <w:spacing w:after="60" w:line="360" w:lineRule="auto"/>
        <w:ind w:left="714" w:hanging="357"/>
        <w:rPr>
          <w:szCs w:val="18"/>
        </w:rPr>
      </w:pPr>
      <w:r>
        <w:rPr>
          <w:szCs w:val="18"/>
        </w:rPr>
        <w:t>nakládání a hospoda</w:t>
      </w:r>
      <w:r>
        <w:rPr>
          <w:rFonts w:cs="Calibri"/>
          <w:szCs w:val="18"/>
        </w:rPr>
        <w:t>ř</w:t>
      </w:r>
      <w:r>
        <w:rPr>
          <w:szCs w:val="18"/>
        </w:rPr>
        <w:t>ení s majetkem ve vlastnictví územního celku,</w:t>
      </w:r>
    </w:p>
    <w:p w14:paraId="2FBC33E4" w14:textId="77777777" w:rsidR="004E7B56" w:rsidRDefault="009C5AB4">
      <w:pPr>
        <w:numPr>
          <w:ilvl w:val="0"/>
          <w:numId w:val="8"/>
        </w:numPr>
        <w:spacing w:after="60" w:line="360" w:lineRule="auto"/>
        <w:ind w:left="714" w:hanging="357"/>
        <w:rPr>
          <w:szCs w:val="18"/>
        </w:rPr>
      </w:pPr>
      <w:r>
        <w:rPr>
          <w:szCs w:val="18"/>
        </w:rPr>
        <w:t>nakládání a hospoda</w:t>
      </w:r>
      <w:r>
        <w:rPr>
          <w:rFonts w:cs="Calibri"/>
          <w:szCs w:val="18"/>
        </w:rPr>
        <w:t>ř</w:t>
      </w:r>
      <w:r>
        <w:rPr>
          <w:szCs w:val="18"/>
        </w:rPr>
        <w:t>ení s majetkem státu, s nímž hospoda</w:t>
      </w:r>
      <w:r>
        <w:rPr>
          <w:rFonts w:cs="Calibri"/>
          <w:szCs w:val="18"/>
        </w:rPr>
        <w:t>ř</w:t>
      </w:r>
      <w:r>
        <w:rPr>
          <w:rFonts w:hint="eastAsia"/>
          <w:szCs w:val="18"/>
        </w:rPr>
        <w:t>í</w:t>
      </w:r>
      <w:r>
        <w:rPr>
          <w:szCs w:val="18"/>
        </w:rPr>
        <w:t xml:space="preserve"> územní celek,</w:t>
      </w:r>
    </w:p>
    <w:p w14:paraId="621F79AF" w14:textId="77777777" w:rsidR="004E7B56" w:rsidRDefault="009C5AB4">
      <w:pPr>
        <w:numPr>
          <w:ilvl w:val="0"/>
          <w:numId w:val="8"/>
        </w:numPr>
        <w:spacing w:after="60" w:line="360" w:lineRule="auto"/>
        <w:ind w:left="714" w:hanging="357"/>
        <w:rPr>
          <w:szCs w:val="18"/>
        </w:rPr>
      </w:pPr>
      <w:r>
        <w:rPr>
          <w:szCs w:val="18"/>
        </w:rPr>
        <w:t>zadávání a uskute</w:t>
      </w:r>
      <w:r>
        <w:rPr>
          <w:rFonts w:cs="Calibri"/>
          <w:szCs w:val="18"/>
        </w:rPr>
        <w:t>čň</w:t>
      </w:r>
      <w:r>
        <w:rPr>
          <w:szCs w:val="18"/>
        </w:rPr>
        <w:t>ování veřejných zakázek, s výjimkou úkon</w:t>
      </w:r>
      <w:r>
        <w:rPr>
          <w:rFonts w:cs="Calibri"/>
          <w:szCs w:val="18"/>
        </w:rPr>
        <w:t>ů</w:t>
      </w:r>
      <w:r>
        <w:rPr>
          <w:szCs w:val="18"/>
        </w:rPr>
        <w:t xml:space="preserve"> a postup</w:t>
      </w:r>
      <w:r>
        <w:rPr>
          <w:rFonts w:cs="Calibri"/>
          <w:szCs w:val="18"/>
        </w:rPr>
        <w:t>ů</w:t>
      </w:r>
      <w:r>
        <w:rPr>
          <w:szCs w:val="18"/>
        </w:rPr>
        <w:t xml:space="preserve"> p</w:t>
      </w:r>
      <w:r>
        <w:rPr>
          <w:rFonts w:cs="Calibri"/>
          <w:szCs w:val="18"/>
        </w:rPr>
        <w:t>ř</w:t>
      </w:r>
      <w:r>
        <w:rPr>
          <w:szCs w:val="18"/>
        </w:rPr>
        <w:t xml:space="preserve">ezkoumaných orgánem dohledu podle zákona </w:t>
      </w:r>
      <w:r>
        <w:rPr>
          <w:rFonts w:cs="Calibri"/>
          <w:szCs w:val="18"/>
        </w:rPr>
        <w:t>č</w:t>
      </w:r>
      <w:r>
        <w:rPr>
          <w:szCs w:val="18"/>
        </w:rPr>
        <w:t>. 134/2016 Sb., o ve</w:t>
      </w:r>
      <w:r>
        <w:rPr>
          <w:rFonts w:cs="Calibri"/>
          <w:szCs w:val="18"/>
        </w:rPr>
        <w:t>ř</w:t>
      </w:r>
      <w:r>
        <w:rPr>
          <w:szCs w:val="18"/>
        </w:rPr>
        <w:t>ejných zakázkách, ve zn</w:t>
      </w:r>
      <w:r>
        <w:rPr>
          <w:rFonts w:cs="Calibri"/>
          <w:szCs w:val="18"/>
        </w:rPr>
        <w:t>ě</w:t>
      </w:r>
      <w:r>
        <w:rPr>
          <w:szCs w:val="18"/>
        </w:rPr>
        <w:t>ní pozd</w:t>
      </w:r>
      <w:r>
        <w:rPr>
          <w:rFonts w:cs="Calibri"/>
          <w:szCs w:val="18"/>
        </w:rPr>
        <w:t>ě</w:t>
      </w:r>
      <w:r>
        <w:rPr>
          <w:szCs w:val="18"/>
        </w:rPr>
        <w:t>jších p</w:t>
      </w:r>
      <w:r>
        <w:rPr>
          <w:rFonts w:cs="Calibri"/>
          <w:szCs w:val="18"/>
        </w:rPr>
        <w:t>ř</w:t>
      </w:r>
      <w:r>
        <w:rPr>
          <w:szCs w:val="18"/>
        </w:rPr>
        <w:t>edpis</w:t>
      </w:r>
      <w:r>
        <w:rPr>
          <w:rFonts w:cs="Calibri"/>
          <w:szCs w:val="18"/>
        </w:rPr>
        <w:t>ů</w:t>
      </w:r>
      <w:r>
        <w:rPr>
          <w:szCs w:val="18"/>
        </w:rPr>
        <w:t>,</w:t>
      </w:r>
    </w:p>
    <w:p w14:paraId="6C8C0FD4" w14:textId="77777777" w:rsidR="004E7B56" w:rsidRDefault="009C5AB4">
      <w:pPr>
        <w:numPr>
          <w:ilvl w:val="0"/>
          <w:numId w:val="8"/>
        </w:numPr>
        <w:spacing w:after="60" w:line="360" w:lineRule="auto"/>
        <w:ind w:left="714" w:hanging="357"/>
        <w:rPr>
          <w:szCs w:val="18"/>
        </w:rPr>
      </w:pPr>
      <w:r>
        <w:rPr>
          <w:szCs w:val="18"/>
        </w:rPr>
        <w:t>stav pohledávek a závazk</w:t>
      </w:r>
      <w:r>
        <w:rPr>
          <w:rFonts w:cs="Calibri"/>
          <w:szCs w:val="18"/>
        </w:rPr>
        <w:t>ů</w:t>
      </w:r>
      <w:r>
        <w:rPr>
          <w:szCs w:val="18"/>
        </w:rPr>
        <w:t xml:space="preserve"> a nakládání s nimi,</w:t>
      </w:r>
    </w:p>
    <w:p w14:paraId="54482F60" w14:textId="77777777" w:rsidR="004E7B56" w:rsidRDefault="009C5AB4">
      <w:pPr>
        <w:numPr>
          <w:ilvl w:val="0"/>
          <w:numId w:val="8"/>
        </w:numPr>
        <w:spacing w:after="60" w:line="360" w:lineRule="auto"/>
        <w:ind w:left="714" w:hanging="357"/>
        <w:rPr>
          <w:szCs w:val="18"/>
        </w:rPr>
      </w:pPr>
      <w:r>
        <w:rPr>
          <w:szCs w:val="18"/>
        </w:rPr>
        <w:t>ručení za závazky fyzických a právnických osob,</w:t>
      </w:r>
    </w:p>
    <w:p w14:paraId="704E5D59" w14:textId="77777777" w:rsidR="004E7B56" w:rsidRDefault="009C5AB4">
      <w:pPr>
        <w:numPr>
          <w:ilvl w:val="0"/>
          <w:numId w:val="8"/>
        </w:numPr>
        <w:spacing w:after="60" w:line="360" w:lineRule="auto"/>
        <w:ind w:left="714" w:hanging="357"/>
        <w:rPr>
          <w:szCs w:val="18"/>
        </w:rPr>
      </w:pPr>
      <w:r>
        <w:rPr>
          <w:szCs w:val="18"/>
        </w:rPr>
        <w:t>zastavování movitých a nemovitých v</w:t>
      </w:r>
      <w:r>
        <w:rPr>
          <w:rFonts w:cs="Calibri"/>
          <w:szCs w:val="18"/>
        </w:rPr>
        <w:t>ě</w:t>
      </w:r>
      <w:r>
        <w:rPr>
          <w:szCs w:val="18"/>
        </w:rPr>
        <w:t>cí ve prosp</w:t>
      </w:r>
      <w:r>
        <w:rPr>
          <w:rFonts w:cs="Calibri"/>
          <w:szCs w:val="18"/>
        </w:rPr>
        <w:t>ě</w:t>
      </w:r>
      <w:r>
        <w:rPr>
          <w:szCs w:val="18"/>
        </w:rPr>
        <w:t>ch t</w:t>
      </w:r>
      <w:r>
        <w:rPr>
          <w:rFonts w:cs="Calibri"/>
          <w:szCs w:val="18"/>
        </w:rPr>
        <w:t>ř</w:t>
      </w:r>
      <w:r>
        <w:rPr>
          <w:szCs w:val="18"/>
        </w:rPr>
        <w:t>etích osob,</w:t>
      </w:r>
    </w:p>
    <w:p w14:paraId="0960199E" w14:textId="77777777" w:rsidR="004E7B56" w:rsidRDefault="009C5AB4">
      <w:pPr>
        <w:numPr>
          <w:ilvl w:val="0"/>
          <w:numId w:val="8"/>
        </w:numPr>
        <w:spacing w:after="60" w:line="360" w:lineRule="auto"/>
        <w:ind w:left="714" w:hanging="357"/>
        <w:rPr>
          <w:szCs w:val="18"/>
        </w:rPr>
      </w:pPr>
      <w:r>
        <w:rPr>
          <w:szCs w:val="18"/>
        </w:rPr>
        <w:t>z</w:t>
      </w:r>
      <w:r>
        <w:rPr>
          <w:rFonts w:cs="Calibri"/>
          <w:szCs w:val="18"/>
        </w:rPr>
        <w:t>ř</w:t>
      </w:r>
      <w:r>
        <w:rPr>
          <w:szCs w:val="18"/>
        </w:rPr>
        <w:t>izování v</w:t>
      </w:r>
      <w:r>
        <w:rPr>
          <w:rFonts w:cs="Calibri"/>
          <w:szCs w:val="18"/>
        </w:rPr>
        <w:t>ě</w:t>
      </w:r>
      <w:r>
        <w:rPr>
          <w:szCs w:val="18"/>
        </w:rPr>
        <w:t>cných b</w:t>
      </w:r>
      <w:r>
        <w:rPr>
          <w:rFonts w:cs="Calibri"/>
          <w:szCs w:val="18"/>
        </w:rPr>
        <w:t>ř</w:t>
      </w:r>
      <w:r>
        <w:rPr>
          <w:szCs w:val="18"/>
        </w:rPr>
        <w:t>emen k majetku územního celku,</w:t>
      </w:r>
    </w:p>
    <w:p w14:paraId="46C386A8" w14:textId="77777777" w:rsidR="004E7B56" w:rsidRDefault="009C5AB4">
      <w:pPr>
        <w:numPr>
          <w:ilvl w:val="0"/>
          <w:numId w:val="8"/>
        </w:numPr>
        <w:spacing w:after="60" w:line="360" w:lineRule="auto"/>
        <w:ind w:left="714" w:hanging="357"/>
        <w:rPr>
          <w:szCs w:val="18"/>
        </w:rPr>
      </w:pPr>
      <w:r>
        <w:rPr>
          <w:szCs w:val="18"/>
        </w:rPr>
        <w:t>ú</w:t>
      </w:r>
      <w:r>
        <w:rPr>
          <w:rFonts w:cs="Calibri"/>
          <w:szCs w:val="18"/>
        </w:rPr>
        <w:t>č</w:t>
      </w:r>
      <w:r>
        <w:rPr>
          <w:szCs w:val="18"/>
        </w:rPr>
        <w:t>etnictví vedené územním celkem,</w:t>
      </w:r>
    </w:p>
    <w:p w14:paraId="5611C714" w14:textId="77777777" w:rsidR="004E7B56" w:rsidRDefault="009C5AB4">
      <w:pPr>
        <w:numPr>
          <w:ilvl w:val="0"/>
          <w:numId w:val="8"/>
        </w:numPr>
        <w:spacing w:after="60" w:line="360" w:lineRule="auto"/>
        <w:ind w:left="714" w:hanging="357"/>
        <w:rPr>
          <w:szCs w:val="18"/>
        </w:rPr>
      </w:pPr>
      <w:r>
        <w:rPr>
          <w:szCs w:val="18"/>
        </w:rPr>
        <w:t xml:space="preserve">ověření poměru dluhu územního celku k průměru jeho příjmů za poslední 4 rozpočtové roky podle právního předpisu upravujícího rozpočtovou odpovědnost. </w:t>
      </w:r>
    </w:p>
    <w:p w14:paraId="030F2143" w14:textId="77777777" w:rsidR="004E7B56" w:rsidRDefault="004E7B56">
      <w:pPr>
        <w:spacing w:after="60" w:line="360" w:lineRule="auto"/>
        <w:rPr>
          <w:szCs w:val="18"/>
        </w:rPr>
      </w:pPr>
    </w:p>
    <w:p w14:paraId="767BB664" w14:textId="77777777" w:rsidR="004E7B56" w:rsidRDefault="009C5AB4">
      <w:pPr>
        <w:pStyle w:val="Nadpis2"/>
        <w:rPr>
          <w:szCs w:val="18"/>
        </w:rPr>
      </w:pPr>
      <w:bookmarkStart w:id="1" w:name="_Ref319841498"/>
      <w:r>
        <w:t>Hlediska přezkoumání hospodaření</w:t>
      </w:r>
      <w:bookmarkEnd w:id="1"/>
    </w:p>
    <w:p w14:paraId="03111D3C" w14:textId="77777777" w:rsidR="004E7B56" w:rsidRDefault="009C5AB4">
      <w:pPr>
        <w:spacing w:after="120" w:line="360" w:lineRule="auto"/>
        <w:rPr>
          <w:szCs w:val="18"/>
        </w:rPr>
      </w:pPr>
      <w:r>
        <w:rPr>
          <w:szCs w:val="18"/>
        </w:rPr>
        <w:t>Předmět přezkoumání podle ustanovení §3 zákona č. 420/2004 Sb. (viz bod 2.1 této zprávy) se ověřuje z hlediska:</w:t>
      </w:r>
    </w:p>
    <w:p w14:paraId="429B376D" w14:textId="77777777" w:rsidR="004E7B56" w:rsidRDefault="009C5AB4">
      <w:pPr>
        <w:numPr>
          <w:ilvl w:val="0"/>
          <w:numId w:val="12"/>
        </w:numPr>
        <w:spacing w:after="60" w:line="360" w:lineRule="auto"/>
        <w:ind w:left="714" w:hanging="357"/>
        <w:rPr>
          <w:szCs w:val="18"/>
        </w:rPr>
      </w:pPr>
      <w:r>
        <w:rPr>
          <w:szCs w:val="18"/>
        </w:rPr>
        <w:t>dodržování povinností stanovených zvláštními právními p</w:t>
      </w:r>
      <w:r>
        <w:rPr>
          <w:rFonts w:cs="Calibri"/>
          <w:szCs w:val="18"/>
        </w:rPr>
        <w:t>ř</w:t>
      </w:r>
      <w:r>
        <w:rPr>
          <w:szCs w:val="18"/>
        </w:rPr>
        <w:t>edpisy,</w:t>
      </w:r>
    </w:p>
    <w:p w14:paraId="57AA2604" w14:textId="77777777" w:rsidR="004E7B56" w:rsidRDefault="009C5AB4">
      <w:pPr>
        <w:numPr>
          <w:ilvl w:val="0"/>
          <w:numId w:val="12"/>
        </w:numPr>
        <w:spacing w:after="60" w:line="360" w:lineRule="auto"/>
        <w:ind w:left="714" w:hanging="357"/>
        <w:rPr>
          <w:szCs w:val="18"/>
        </w:rPr>
      </w:pPr>
      <w:r>
        <w:rPr>
          <w:szCs w:val="18"/>
        </w:rPr>
        <w:t>souladu hospoda</w:t>
      </w:r>
      <w:r>
        <w:rPr>
          <w:rFonts w:cs="Calibri"/>
          <w:szCs w:val="18"/>
        </w:rPr>
        <w:t>ř</w:t>
      </w:r>
      <w:r>
        <w:rPr>
          <w:szCs w:val="18"/>
        </w:rPr>
        <w:t>ení s finan</w:t>
      </w:r>
      <w:r>
        <w:rPr>
          <w:rFonts w:cs="Calibri"/>
          <w:szCs w:val="18"/>
        </w:rPr>
        <w:t>č</w:t>
      </w:r>
      <w:r>
        <w:rPr>
          <w:szCs w:val="18"/>
        </w:rPr>
        <w:t>ními prostředky ve srovnání s rozpo</w:t>
      </w:r>
      <w:r>
        <w:rPr>
          <w:rFonts w:cs="Calibri"/>
          <w:szCs w:val="18"/>
        </w:rPr>
        <w:t>č</w:t>
      </w:r>
      <w:r>
        <w:rPr>
          <w:szCs w:val="18"/>
        </w:rPr>
        <w:t>tem,</w:t>
      </w:r>
    </w:p>
    <w:p w14:paraId="35815AFE" w14:textId="77777777" w:rsidR="004E7B56" w:rsidRDefault="009C5AB4">
      <w:pPr>
        <w:numPr>
          <w:ilvl w:val="0"/>
          <w:numId w:val="12"/>
        </w:numPr>
        <w:spacing w:after="60" w:line="360" w:lineRule="auto"/>
        <w:ind w:left="714" w:hanging="357"/>
        <w:rPr>
          <w:szCs w:val="18"/>
        </w:rPr>
      </w:pPr>
      <w:r>
        <w:rPr>
          <w:szCs w:val="18"/>
        </w:rPr>
        <w:t>dodržení ú</w:t>
      </w:r>
      <w:r>
        <w:rPr>
          <w:rFonts w:cs="Calibri"/>
          <w:szCs w:val="18"/>
        </w:rPr>
        <w:t>č</w:t>
      </w:r>
      <w:r>
        <w:rPr>
          <w:szCs w:val="18"/>
        </w:rPr>
        <w:t>elu poskytnuté dotace nebo návratné finan</w:t>
      </w:r>
      <w:r>
        <w:rPr>
          <w:rFonts w:cs="Calibri"/>
          <w:szCs w:val="18"/>
        </w:rPr>
        <w:t>č</w:t>
      </w:r>
      <w:r>
        <w:rPr>
          <w:szCs w:val="18"/>
        </w:rPr>
        <w:t>ní výpomoci a podmínek jejich použití,</w:t>
      </w:r>
    </w:p>
    <w:p w14:paraId="3E8C9F8F" w14:textId="77777777" w:rsidR="004E7B56" w:rsidRDefault="009C5AB4">
      <w:pPr>
        <w:numPr>
          <w:ilvl w:val="0"/>
          <w:numId w:val="12"/>
        </w:numPr>
        <w:spacing w:after="60" w:line="360" w:lineRule="auto"/>
        <w:ind w:left="714" w:hanging="357"/>
        <w:rPr>
          <w:szCs w:val="18"/>
        </w:rPr>
      </w:pPr>
      <w:r>
        <w:rPr>
          <w:szCs w:val="18"/>
        </w:rPr>
        <w:lastRenderedPageBreak/>
        <w:t>v</w:t>
      </w:r>
      <w:r>
        <w:rPr>
          <w:rFonts w:cs="Calibri"/>
          <w:szCs w:val="18"/>
        </w:rPr>
        <w:t>ě</w:t>
      </w:r>
      <w:r>
        <w:rPr>
          <w:szCs w:val="18"/>
        </w:rPr>
        <w:t>cné a formální správnosti doklad</w:t>
      </w:r>
      <w:r>
        <w:rPr>
          <w:rFonts w:cs="Calibri"/>
          <w:szCs w:val="18"/>
        </w:rPr>
        <w:t>ů</w:t>
      </w:r>
      <w:r>
        <w:rPr>
          <w:szCs w:val="18"/>
        </w:rPr>
        <w:t xml:space="preserve"> o p</w:t>
      </w:r>
      <w:r>
        <w:rPr>
          <w:rFonts w:cs="Calibri"/>
          <w:szCs w:val="18"/>
        </w:rPr>
        <w:t>ř</w:t>
      </w:r>
      <w:r>
        <w:rPr>
          <w:szCs w:val="18"/>
        </w:rPr>
        <w:t>ezkoumávaných operacích.</w:t>
      </w:r>
    </w:p>
    <w:p w14:paraId="33D21042" w14:textId="77777777" w:rsidR="004E7B56" w:rsidRDefault="009C5AB4">
      <w:pPr>
        <w:spacing w:after="120" w:line="360" w:lineRule="auto"/>
      </w:pPr>
      <w:r>
        <w:rPr>
          <w:szCs w:val="18"/>
        </w:rPr>
        <w:t>Právní p</w:t>
      </w:r>
      <w:r>
        <w:rPr>
          <w:rFonts w:cs="Calibri"/>
          <w:szCs w:val="18"/>
        </w:rPr>
        <w:t>ř</w:t>
      </w:r>
      <w:r>
        <w:rPr>
          <w:szCs w:val="18"/>
        </w:rPr>
        <w:t>edpisy použité p</w:t>
      </w:r>
      <w:r>
        <w:rPr>
          <w:rFonts w:cs="Calibri"/>
          <w:szCs w:val="18"/>
        </w:rPr>
        <w:t>ř</w:t>
      </w:r>
      <w:r>
        <w:rPr>
          <w:szCs w:val="18"/>
        </w:rPr>
        <w:t>i p</w:t>
      </w:r>
      <w:r>
        <w:rPr>
          <w:rFonts w:cs="Calibri"/>
          <w:szCs w:val="18"/>
        </w:rPr>
        <w:t>ř</w:t>
      </w:r>
      <w:r>
        <w:rPr>
          <w:szCs w:val="18"/>
        </w:rPr>
        <w:t>ezkoumání hospoda</w:t>
      </w:r>
      <w:r>
        <w:rPr>
          <w:rFonts w:cs="Calibri"/>
          <w:szCs w:val="18"/>
        </w:rPr>
        <w:t>ř</w:t>
      </w:r>
      <w:r>
        <w:rPr>
          <w:szCs w:val="18"/>
        </w:rPr>
        <w:t>ení pokrývající výše uvedená hlediska jsou uvedeny v p</w:t>
      </w:r>
      <w:r>
        <w:rPr>
          <w:rFonts w:cs="Calibri"/>
          <w:szCs w:val="18"/>
        </w:rPr>
        <w:t>ř</w:t>
      </w:r>
      <w:r>
        <w:rPr>
          <w:rFonts w:hint="eastAsia"/>
          <w:szCs w:val="18"/>
        </w:rPr>
        <w:t>í</w:t>
      </w:r>
      <w:r>
        <w:rPr>
          <w:szCs w:val="18"/>
        </w:rPr>
        <w:t>loze A, která je nedílnou sou</w:t>
      </w:r>
      <w:r>
        <w:rPr>
          <w:rFonts w:cs="Calibri"/>
          <w:szCs w:val="18"/>
        </w:rPr>
        <w:t>č</w:t>
      </w:r>
      <w:r>
        <w:rPr>
          <w:rFonts w:hint="eastAsia"/>
          <w:szCs w:val="18"/>
        </w:rPr>
        <w:t>á</w:t>
      </w:r>
      <w:r>
        <w:rPr>
          <w:szCs w:val="18"/>
        </w:rPr>
        <w:t>stí této zprávy.</w:t>
      </w:r>
    </w:p>
    <w:p w14:paraId="1CC68F9E" w14:textId="77777777" w:rsidR="004E7B56" w:rsidRDefault="009C5AB4">
      <w:pPr>
        <w:pStyle w:val="Nadpis2"/>
        <w:rPr>
          <w:szCs w:val="18"/>
        </w:rPr>
      </w:pPr>
      <w:r>
        <w:t>Definování odpovědností</w:t>
      </w:r>
    </w:p>
    <w:p w14:paraId="0880597F" w14:textId="77777777" w:rsidR="004E7B56" w:rsidRDefault="009C5AB4">
      <w:pPr>
        <w:spacing w:before="240" w:after="120" w:line="360" w:lineRule="auto"/>
        <w:rPr>
          <w:szCs w:val="18"/>
        </w:rPr>
      </w:pPr>
      <w:r>
        <w:rPr>
          <w:szCs w:val="18"/>
        </w:rPr>
        <w:t xml:space="preserve">Za hospodaření, které bylo předmětem přezkoumání a za jeho zobrazení v účetních a finančních výkazech, je odpovědný územní celek. </w:t>
      </w:r>
    </w:p>
    <w:p w14:paraId="3EF62059" w14:textId="77777777" w:rsidR="004E7B56" w:rsidRDefault="009C5AB4">
      <w:pPr>
        <w:spacing w:before="240" w:after="120" w:line="360" w:lineRule="auto"/>
        <w:rPr>
          <w:szCs w:val="18"/>
        </w:rPr>
      </w:pPr>
      <w:r>
        <w:rPr>
          <w:szCs w:val="18"/>
        </w:rPr>
        <w:t>Naší úlohou je, na základě provedeného přezkoumání hospodaření, vydat zprávu o výsledku přezkoumání hospodaření. V souladu se zákonem o auditorech a Etickým kodexem přijatým Komorou auditorů České republiky jsme na územním celku nezávislí a splnili jsme i další etické povinnosti vyplývající z uvedených předpisů. Rovněž jsme splnili požadavky týkající se řízení kvality stanovené mezinárodním standardem pro řízení kvality ISQC 1.</w:t>
      </w:r>
    </w:p>
    <w:p w14:paraId="0343CD8D" w14:textId="77777777" w:rsidR="004E7B56" w:rsidRDefault="009C5AB4">
      <w:pPr>
        <w:spacing w:before="240" w:after="120" w:line="360" w:lineRule="auto"/>
      </w:pPr>
      <w:r>
        <w:rPr>
          <w:szCs w:val="18"/>
        </w:rPr>
        <w:t>Přezkoumání hospodaření jsme provedli v souladu se zákonem o auditorech, auditorským standardem č. 52 a dalšími relevantními předpisy vydanými Komorou auditorů České republiky a s ustanoveními § 2, 3 a 10 zákona č. 420/2004 Sb. Podle těchto předpisů jsme povinni naplánovat a provést přezkoumání hospodaření tak, abychom získali omezenou jistotu, zda hospodaření územního celku je v souladu s hledisky přezkoumání hospodaření (viz bod 2.2 této zprávy).</w:t>
      </w:r>
    </w:p>
    <w:p w14:paraId="5B315E2E" w14:textId="77777777" w:rsidR="004E7B56" w:rsidRDefault="009C5AB4">
      <w:pPr>
        <w:pStyle w:val="Nadpis2"/>
        <w:rPr>
          <w:szCs w:val="18"/>
        </w:rPr>
      </w:pPr>
      <w:r>
        <w:t>Rámcový rozsah prací</w:t>
      </w:r>
    </w:p>
    <w:p w14:paraId="0FF70141" w14:textId="77777777" w:rsidR="004E7B56" w:rsidRDefault="009C5AB4">
      <w:pPr>
        <w:spacing w:before="240" w:after="120" w:line="360" w:lineRule="auto"/>
        <w:rPr>
          <w:szCs w:val="18"/>
        </w:rPr>
      </w:pPr>
      <w:r>
        <w:rPr>
          <w:szCs w:val="18"/>
        </w:rPr>
        <w:t>Za účelem vykonání přezkoumání hospodaření Hlavního města Prahy, městské části Praha - Vinoř a vyjádření závěru zprávy o výsledku přezkoumání hospodaření byly použity postupy ke shromáždění dostatečných a vhodných důkazních informací. Tyto postupy se svým charakterem a načasováním liší od postupů prováděných u zakázky poskytující přiměřenou jistotu a mají menší rozsah a jsou auditorem aplikovány na základě jeho odborného úsudku včetně vyhodnocení oblastí, v nichž je u předmětu přezkoumání hospodaření pravděpodobný výskyt významných (materiálních) chyb a nedostatků. Při vyhodnocování těchto oblastí auditor bere v úvahu vnitřní kontrolní systém Hlavního města Prahy, městské části Praha - Vinoř. Použité postupy zahrnují výběrový způsob šetření a významnost (materialitu) jednotlivých skutečností. Míra jistoty získaná u přezkoumání hospodaření je tudíž významně nižší než jistota, která by byla získána provedením zakázky poskytující přiměřenou jistotu.</w:t>
      </w:r>
    </w:p>
    <w:p w14:paraId="11F7CC5E" w14:textId="77777777" w:rsidR="004E7B56" w:rsidRDefault="009C5AB4">
      <w:pPr>
        <w:spacing w:before="240" w:after="120" w:line="360" w:lineRule="auto"/>
      </w:pPr>
      <w:r>
        <w:rPr>
          <w:szCs w:val="18"/>
        </w:rPr>
        <w:t>Označení všech dokladů a jiných materiálů využitých při přezkoumání hospodaření Hlavního města Prahy, městské části Praha - Vinoř je uvedeno v samostatné příloze D, která je nedílnou součástí této zprávy. V rámci přezkoumání hospodaření Hlavního města Prahy, městské části Praha - Vinoř činil auditor i další kroky a využíval i další informace, které nejsou součástí tohoto označení.</w:t>
      </w:r>
    </w:p>
    <w:p w14:paraId="6A67FD00" w14:textId="77777777" w:rsidR="004E7B56" w:rsidRDefault="009C5AB4">
      <w:pPr>
        <w:pStyle w:val="Nadpis1"/>
        <w:pageBreakBefore/>
      </w:pPr>
      <w:r>
        <w:lastRenderedPageBreak/>
        <w:t>Závěr zprávy o výsledku přezkoumání hospodaření</w:t>
      </w:r>
    </w:p>
    <w:p w14:paraId="3261D473" w14:textId="77777777" w:rsidR="004E7B56" w:rsidRDefault="009C5AB4">
      <w:pPr>
        <w:pStyle w:val="Nadpis2"/>
        <w:rPr>
          <w:szCs w:val="18"/>
        </w:rPr>
      </w:pPr>
      <w:r>
        <w:t>Vyjádření k souladu hospodaření s hledisky přezkoumání hospodaření</w:t>
      </w:r>
    </w:p>
    <w:p w14:paraId="6E200562" w14:textId="77777777" w:rsidR="004E7B56" w:rsidRDefault="009C5AB4">
      <w:pPr>
        <w:spacing w:before="240" w:after="120" w:line="360" w:lineRule="auto"/>
      </w:pPr>
      <w:r>
        <w:rPr>
          <w:szCs w:val="18"/>
        </w:rPr>
        <w:t xml:space="preserve">Na základě námi provedeného přezkoumání hospodaření Hlavního města Prahy, městské části Praha - Vinoř jsme </w:t>
      </w:r>
      <w:r>
        <w:rPr>
          <w:szCs w:val="18"/>
          <w:lang w:eastAsia="cs-CZ"/>
        </w:rPr>
        <w:t>nezjistili žádnou významnou skutečnost, která by nás vedla k přesvědčení, že přezkoumávané hospodaření není ve všech významných (materiálních) ohledech v souladu s hledisky přezkoumání hospodaření uvedenými v bodě 2.2 této zprávy.</w:t>
      </w:r>
    </w:p>
    <w:p w14:paraId="5D7B76FD" w14:textId="77777777" w:rsidR="004E7B56" w:rsidRDefault="009C5AB4">
      <w:pPr>
        <w:pStyle w:val="Nadpis2"/>
        <w:numPr>
          <w:ilvl w:val="0"/>
          <w:numId w:val="0"/>
        </w:numPr>
        <w:rPr>
          <w:szCs w:val="18"/>
        </w:rPr>
      </w:pPr>
      <w:r>
        <w:t>3.2</w:t>
      </w:r>
      <w:r>
        <w:rPr>
          <w:sz w:val="22"/>
          <w:szCs w:val="22"/>
          <w:lang w:val="cs-CZ"/>
        </w:rPr>
        <w:tab/>
      </w:r>
      <w:r>
        <w:t>Vyjádření ohledně chyb a nedostatků</w:t>
      </w:r>
    </w:p>
    <w:p w14:paraId="6490A173" w14:textId="0A3137DB" w:rsidR="004E7B56" w:rsidRDefault="009C5AB4">
      <w:pPr>
        <w:spacing w:before="240" w:after="120" w:line="360" w:lineRule="auto"/>
        <w:rPr>
          <w:szCs w:val="18"/>
        </w:rPr>
      </w:pPr>
      <w:r>
        <w:rPr>
          <w:szCs w:val="18"/>
        </w:rPr>
        <w:t xml:space="preserve">Zákon č. 420/2004 Sb., o přezkoumávání hospodaření územních samosprávných celků a dobrovolných svazků obcí, ve znění pozdějších předpisů, stanoví, abychom ve zprávě uvedli závěr podle ustanovení § 10 odst. 2 písm. d) a odst. 3 citovaného zákona. Toto ustanovení vyžaduje, abychom ve své zprávě o výsledku přezkoumání hospodaření uvedli, zda při přezkoumání hospodaření byly zjištěny chyby a nedostatky a v čem případně spočívaly, a to bez ohledu na jejich významnost (materialitu) a jejich vztah k hospodaření městské části Praha </w:t>
      </w:r>
      <w:r w:rsidR="000061F8">
        <w:rPr>
          <w:szCs w:val="18"/>
        </w:rPr>
        <w:t xml:space="preserve">- </w:t>
      </w:r>
      <w:r>
        <w:rPr>
          <w:szCs w:val="18"/>
        </w:rPr>
        <w:t xml:space="preserve">Vinoř. </w:t>
      </w:r>
    </w:p>
    <w:p w14:paraId="357F29B7" w14:textId="51761F05" w:rsidR="0074218B" w:rsidRPr="001A1F71" w:rsidRDefault="009C5AB4" w:rsidP="0074218B">
      <w:pPr>
        <w:spacing w:after="120" w:line="360" w:lineRule="auto"/>
        <w:rPr>
          <w:szCs w:val="18"/>
        </w:rPr>
      </w:pPr>
      <w:r>
        <w:rPr>
          <w:szCs w:val="18"/>
        </w:rPr>
        <w:t xml:space="preserve">Při přezkoumání hospodaření městské části </w:t>
      </w:r>
      <w:r w:rsidR="00A7194F">
        <w:rPr>
          <w:szCs w:val="18"/>
        </w:rPr>
        <w:t>Praha – Vinoř</w:t>
      </w:r>
      <w:r>
        <w:rPr>
          <w:szCs w:val="18"/>
        </w:rPr>
        <w:t xml:space="preserve"> za rok 202</w:t>
      </w:r>
      <w:r w:rsidR="00920701">
        <w:rPr>
          <w:szCs w:val="18"/>
        </w:rPr>
        <w:t>4</w:t>
      </w:r>
      <w:r>
        <w:rPr>
          <w:szCs w:val="18"/>
        </w:rPr>
        <w:t xml:space="preserve"> byly zjištěny chyby a nedostatky </w:t>
      </w:r>
      <w:r w:rsidR="0074218B">
        <w:rPr>
          <w:szCs w:val="18"/>
        </w:rPr>
        <w:t>uvedené v ustanovení</w:t>
      </w:r>
      <w:r w:rsidR="0074218B">
        <w:rPr>
          <w:szCs w:val="18"/>
        </w:rPr>
        <w:br/>
        <w:t xml:space="preserve">§ 10 odst. 3 písm. c) citovaného zákona, spočívající </w:t>
      </w:r>
      <w:r w:rsidR="0074218B" w:rsidRPr="00510930">
        <w:rPr>
          <w:szCs w:val="18"/>
        </w:rPr>
        <w:t xml:space="preserve">v neúplnosti, nesprávnosti nebo neprůkaznosti vedení účetnictví. </w:t>
      </w:r>
      <w:r w:rsidR="0074218B">
        <w:rPr>
          <w:szCs w:val="18"/>
        </w:rPr>
        <w:t xml:space="preserve"> Popis zjištěných chyb a nedostatků je uveden v příloze B obsahující i označení dokladů a jiných materiálů sloužících jako podklad pro identifikaci chyb a nedostatků, která je nedílnou součástí této zprávy o výsledku přezkoumání.</w:t>
      </w:r>
    </w:p>
    <w:p w14:paraId="1B8E94F1" w14:textId="6A701C38" w:rsidR="004E7B56" w:rsidRDefault="004E7B56">
      <w:pPr>
        <w:spacing w:before="240" w:after="120" w:line="360" w:lineRule="auto"/>
      </w:pPr>
    </w:p>
    <w:p w14:paraId="47F4A510" w14:textId="77777777" w:rsidR="004E7B56" w:rsidRDefault="009C5AB4">
      <w:pPr>
        <w:pStyle w:val="Nadpis2"/>
        <w:numPr>
          <w:ilvl w:val="0"/>
          <w:numId w:val="0"/>
        </w:numPr>
        <w:rPr>
          <w:szCs w:val="18"/>
        </w:rPr>
      </w:pPr>
      <w:r>
        <w:t>3.3</w:t>
      </w:r>
      <w:r>
        <w:tab/>
        <w:t>Upozornění na případná rizika</w:t>
      </w:r>
    </w:p>
    <w:p w14:paraId="0F6D238B" w14:textId="2CDEBED5" w:rsidR="004E7B56" w:rsidRDefault="009C5AB4">
      <w:pPr>
        <w:spacing w:after="120" w:line="360" w:lineRule="auto"/>
        <w:rPr>
          <w:szCs w:val="18"/>
        </w:rPr>
      </w:pPr>
      <w:r>
        <w:rPr>
          <w:szCs w:val="18"/>
        </w:rPr>
        <w:t xml:space="preserve">Na základě zjištění podle ustanovení § 10 odst. 2 písm. b) zákona č. 420/2004 Sb., ve znění pozdějších předpisů, upozorňujeme na </w:t>
      </w:r>
      <w:r>
        <w:rPr>
          <w:b/>
          <w:szCs w:val="18"/>
        </w:rPr>
        <w:t>následující případná rizika</w:t>
      </w:r>
      <w:r>
        <w:rPr>
          <w:szCs w:val="18"/>
        </w:rPr>
        <w:t xml:space="preserve">, která mohou mít negativní dopad na hospodaření Hlavního města Prahy, městské části </w:t>
      </w:r>
      <w:r w:rsidR="00C9390E">
        <w:rPr>
          <w:szCs w:val="18"/>
        </w:rPr>
        <w:br/>
      </w:r>
      <w:r>
        <w:rPr>
          <w:szCs w:val="18"/>
        </w:rPr>
        <w:t>Praha</w:t>
      </w:r>
      <w:r w:rsidRPr="00920701">
        <w:rPr>
          <w:color w:val="FF0000"/>
          <w:szCs w:val="18"/>
        </w:rPr>
        <w:t xml:space="preserve"> </w:t>
      </w:r>
      <w:r w:rsidR="00C9390E">
        <w:rPr>
          <w:color w:val="FF0000"/>
          <w:szCs w:val="18"/>
        </w:rPr>
        <w:t xml:space="preserve">- </w:t>
      </w:r>
      <w:r w:rsidR="006F7204" w:rsidRPr="006F7204">
        <w:rPr>
          <w:szCs w:val="18"/>
        </w:rPr>
        <w:t>Vinoř</w:t>
      </w:r>
      <w:r>
        <w:rPr>
          <w:szCs w:val="18"/>
        </w:rPr>
        <w:t>:</w:t>
      </w:r>
    </w:p>
    <w:p w14:paraId="68F93EF8" w14:textId="463A95ED" w:rsidR="004E7B56" w:rsidRDefault="009C5AB4">
      <w:pPr>
        <w:spacing w:after="120" w:line="360" w:lineRule="auto"/>
      </w:pPr>
      <w:r>
        <w:rPr>
          <w:szCs w:val="18"/>
        </w:rPr>
        <w:t>Při přezkoumání hospodaření Hlavního města Prahy, městské části Praha - Vinoř za rok 202</w:t>
      </w:r>
      <w:r w:rsidR="00920701">
        <w:rPr>
          <w:szCs w:val="18"/>
        </w:rPr>
        <w:t>4</w:t>
      </w:r>
      <w:r>
        <w:rPr>
          <w:szCs w:val="18"/>
        </w:rPr>
        <w:t xml:space="preserve"> jsme nezjistili významná rizika. </w:t>
      </w:r>
    </w:p>
    <w:p w14:paraId="3CF1A821" w14:textId="77777777" w:rsidR="004E7B56" w:rsidRDefault="009C5AB4">
      <w:pPr>
        <w:pStyle w:val="Nadpis2"/>
        <w:numPr>
          <w:ilvl w:val="1"/>
          <w:numId w:val="25"/>
        </w:numPr>
        <w:rPr>
          <w:lang w:val="cs-CZ"/>
        </w:rPr>
      </w:pPr>
      <w:r>
        <w:t>Doplňující údaje</w:t>
      </w:r>
      <w:r>
        <w:rPr>
          <w:lang w:val="cs-CZ"/>
        </w:rPr>
        <w:t xml:space="preserve"> Hlavní město Praha, městská část Praha - Vinoř, podíl pohledávek a závazků na rozpočtu územního celku Hlavního města Praha, městská část Praha - Vinoř a podíl zastaveného majetku na celkovém majetku územního celku</w:t>
      </w:r>
    </w:p>
    <w:p w14:paraId="1DCBD361" w14:textId="77777777" w:rsidR="004E7B56" w:rsidRDefault="009C5AB4">
      <w:pPr>
        <w:pStyle w:val="Nadpis3"/>
        <w:rPr>
          <w:color w:val="000000"/>
          <w:szCs w:val="18"/>
          <w:lang w:eastAsia="cs-CZ"/>
        </w:rPr>
      </w:pPr>
      <w:r>
        <w:rPr>
          <w:lang w:val="cs-CZ"/>
        </w:rPr>
        <w:t xml:space="preserve">Podíl pohledávek na rozpočtu </w:t>
      </w:r>
    </w:p>
    <w:tbl>
      <w:tblPr>
        <w:tblW w:w="0" w:type="auto"/>
        <w:jc w:val="center"/>
        <w:tblLayout w:type="fixed"/>
        <w:tblCellMar>
          <w:left w:w="70" w:type="dxa"/>
          <w:right w:w="70" w:type="dxa"/>
        </w:tblCellMar>
        <w:tblLook w:val="0000" w:firstRow="0" w:lastRow="0" w:firstColumn="0" w:lastColumn="0" w:noHBand="0" w:noVBand="0"/>
      </w:tblPr>
      <w:tblGrid>
        <w:gridCol w:w="1207"/>
        <w:gridCol w:w="5642"/>
        <w:gridCol w:w="2105"/>
      </w:tblGrid>
      <w:tr w:rsidR="004E7B56" w14:paraId="12B17E91" w14:textId="77777777">
        <w:trPr>
          <w:trHeight w:val="270"/>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FE77" w14:textId="77777777" w:rsidR="004E7B56" w:rsidRDefault="009C5AB4">
            <w:pPr>
              <w:spacing w:after="0" w:line="240" w:lineRule="auto"/>
            </w:pPr>
            <w:r>
              <w:rPr>
                <w:rFonts w:eastAsia="Times New Roman"/>
                <w:color w:val="000000"/>
                <w:szCs w:val="18"/>
                <w:lang w:eastAsia="cs-CZ"/>
              </w:rPr>
              <w:t>A</w:t>
            </w:r>
          </w:p>
        </w:tc>
        <w:tc>
          <w:tcPr>
            <w:tcW w:w="5642" w:type="dxa"/>
            <w:tcBorders>
              <w:top w:val="single" w:sz="4" w:space="0" w:color="000000"/>
              <w:left w:val="none" w:sz="0" w:space="0" w:color="000000"/>
              <w:bottom w:val="single" w:sz="4" w:space="0" w:color="000000"/>
              <w:right w:val="single" w:sz="4" w:space="0" w:color="000000"/>
            </w:tcBorders>
            <w:shd w:val="clear" w:color="auto" w:fill="auto"/>
            <w:vAlign w:val="center"/>
          </w:tcPr>
          <w:p w14:paraId="4FC6E6FB" w14:textId="77777777" w:rsidR="004E7B56" w:rsidRDefault="009C5AB4">
            <w:pPr>
              <w:spacing w:after="0" w:line="240" w:lineRule="auto"/>
            </w:pPr>
            <w:r>
              <w:rPr>
                <w:rFonts w:eastAsia="Times New Roman"/>
                <w:color w:val="000000"/>
                <w:szCs w:val="18"/>
                <w:lang w:eastAsia="cs-CZ"/>
              </w:rPr>
              <w:t xml:space="preserve">Pohledávky </w:t>
            </w:r>
          </w:p>
        </w:tc>
        <w:tc>
          <w:tcPr>
            <w:tcW w:w="2105" w:type="dxa"/>
            <w:tcBorders>
              <w:top w:val="single" w:sz="4" w:space="0" w:color="000000"/>
              <w:left w:val="none" w:sz="0" w:space="0" w:color="000000"/>
              <w:bottom w:val="single" w:sz="4" w:space="0" w:color="000000"/>
              <w:right w:val="single" w:sz="4" w:space="0" w:color="000000"/>
            </w:tcBorders>
            <w:shd w:val="clear" w:color="auto" w:fill="auto"/>
            <w:vAlign w:val="center"/>
          </w:tcPr>
          <w:p w14:paraId="1C981D87" w14:textId="6E47FA2F" w:rsidR="004E7B56" w:rsidRDefault="00035B54">
            <w:pPr>
              <w:spacing w:after="0" w:line="240" w:lineRule="auto"/>
              <w:jc w:val="right"/>
            </w:pPr>
            <w:r w:rsidRPr="00035B54">
              <w:rPr>
                <w:rFonts w:eastAsia="Times New Roman"/>
                <w:color w:val="000000"/>
                <w:szCs w:val="18"/>
                <w:lang w:eastAsia="cs-CZ"/>
              </w:rPr>
              <w:t xml:space="preserve">2 298 314,31 </w:t>
            </w:r>
            <w:r>
              <w:rPr>
                <w:rFonts w:eastAsia="Times New Roman"/>
                <w:color w:val="000000"/>
                <w:szCs w:val="18"/>
                <w:lang w:eastAsia="cs-CZ"/>
              </w:rPr>
              <w:t>Kč</w:t>
            </w:r>
          </w:p>
        </w:tc>
      </w:tr>
      <w:tr w:rsidR="004E7B56" w14:paraId="647C79F7" w14:textId="77777777">
        <w:trPr>
          <w:trHeight w:val="270"/>
          <w:jc w:val="center"/>
        </w:trPr>
        <w:tc>
          <w:tcPr>
            <w:tcW w:w="1207" w:type="dxa"/>
            <w:tcBorders>
              <w:top w:val="none" w:sz="0" w:space="0" w:color="000000"/>
              <w:left w:val="single" w:sz="4" w:space="0" w:color="000000"/>
              <w:bottom w:val="single" w:sz="4" w:space="0" w:color="000000"/>
              <w:right w:val="single" w:sz="4" w:space="0" w:color="000000"/>
            </w:tcBorders>
            <w:shd w:val="clear" w:color="auto" w:fill="auto"/>
            <w:vAlign w:val="center"/>
          </w:tcPr>
          <w:p w14:paraId="3E512ED5" w14:textId="77777777" w:rsidR="004E7B56" w:rsidRDefault="009C5AB4">
            <w:pPr>
              <w:spacing w:after="0" w:line="240" w:lineRule="auto"/>
            </w:pPr>
            <w:r>
              <w:rPr>
                <w:rFonts w:eastAsia="Times New Roman"/>
                <w:color w:val="000000"/>
                <w:szCs w:val="18"/>
                <w:lang w:eastAsia="cs-CZ"/>
              </w:rPr>
              <w:t>B</w:t>
            </w:r>
          </w:p>
        </w:tc>
        <w:tc>
          <w:tcPr>
            <w:tcW w:w="5642" w:type="dxa"/>
            <w:tcBorders>
              <w:top w:val="none" w:sz="0" w:space="0" w:color="000000"/>
              <w:left w:val="none" w:sz="0" w:space="0" w:color="000000"/>
              <w:bottom w:val="single" w:sz="4" w:space="0" w:color="000000"/>
              <w:right w:val="single" w:sz="4" w:space="0" w:color="000000"/>
            </w:tcBorders>
            <w:shd w:val="clear" w:color="auto" w:fill="auto"/>
            <w:vAlign w:val="center"/>
          </w:tcPr>
          <w:p w14:paraId="4B7E7706" w14:textId="77777777" w:rsidR="004E7B56" w:rsidRDefault="009C5AB4">
            <w:pPr>
              <w:spacing w:after="0" w:line="240" w:lineRule="auto"/>
            </w:pPr>
            <w:r>
              <w:rPr>
                <w:rFonts w:eastAsia="Times New Roman"/>
                <w:color w:val="000000"/>
                <w:szCs w:val="18"/>
                <w:lang w:eastAsia="cs-CZ"/>
              </w:rPr>
              <w:t>Rozpočtové příjmy celkem</w:t>
            </w:r>
          </w:p>
        </w:tc>
        <w:tc>
          <w:tcPr>
            <w:tcW w:w="2105" w:type="dxa"/>
            <w:tcBorders>
              <w:top w:val="none" w:sz="0" w:space="0" w:color="000000"/>
              <w:left w:val="none" w:sz="0" w:space="0" w:color="000000"/>
              <w:bottom w:val="single" w:sz="4" w:space="0" w:color="000000"/>
              <w:right w:val="single" w:sz="4" w:space="0" w:color="000000"/>
            </w:tcBorders>
            <w:shd w:val="clear" w:color="auto" w:fill="auto"/>
            <w:vAlign w:val="center"/>
          </w:tcPr>
          <w:p w14:paraId="4DA8EC42" w14:textId="2AEEC61C" w:rsidR="004E7B56" w:rsidRDefault="00DC250C">
            <w:pPr>
              <w:spacing w:after="0" w:line="240" w:lineRule="auto"/>
              <w:jc w:val="right"/>
            </w:pPr>
            <w:r>
              <w:rPr>
                <w:rFonts w:eastAsia="Times New Roman"/>
                <w:color w:val="000000"/>
                <w:szCs w:val="18"/>
                <w:lang w:eastAsia="cs-CZ"/>
              </w:rPr>
              <w:t>69 558 105,26</w:t>
            </w:r>
            <w:r w:rsidR="00035B54" w:rsidRPr="00035B54">
              <w:rPr>
                <w:rFonts w:eastAsia="Times New Roman"/>
                <w:color w:val="000000"/>
                <w:szCs w:val="18"/>
                <w:lang w:eastAsia="cs-CZ"/>
              </w:rPr>
              <w:t xml:space="preserve"> </w:t>
            </w:r>
            <w:r>
              <w:rPr>
                <w:rFonts w:eastAsia="Times New Roman"/>
                <w:color w:val="000000"/>
                <w:szCs w:val="18"/>
                <w:lang w:eastAsia="cs-CZ"/>
              </w:rPr>
              <w:t>Kč</w:t>
            </w:r>
          </w:p>
        </w:tc>
      </w:tr>
      <w:tr w:rsidR="004E7B56" w14:paraId="06D88838" w14:textId="77777777">
        <w:trPr>
          <w:trHeight w:val="270"/>
          <w:jc w:val="center"/>
        </w:trPr>
        <w:tc>
          <w:tcPr>
            <w:tcW w:w="1207" w:type="dxa"/>
            <w:tcBorders>
              <w:top w:val="none" w:sz="0" w:space="0" w:color="000000"/>
              <w:left w:val="single" w:sz="4" w:space="0" w:color="000000"/>
              <w:bottom w:val="single" w:sz="4" w:space="0" w:color="000000"/>
              <w:right w:val="single" w:sz="4" w:space="0" w:color="000000"/>
            </w:tcBorders>
            <w:shd w:val="clear" w:color="auto" w:fill="auto"/>
            <w:vAlign w:val="center"/>
          </w:tcPr>
          <w:p w14:paraId="165FD858" w14:textId="77777777" w:rsidR="004E7B56" w:rsidRDefault="009C5AB4">
            <w:pPr>
              <w:spacing w:after="0" w:line="240" w:lineRule="auto"/>
            </w:pPr>
            <w:r>
              <w:rPr>
                <w:rFonts w:eastAsia="Times New Roman"/>
                <w:color w:val="000000"/>
                <w:szCs w:val="18"/>
                <w:lang w:eastAsia="cs-CZ"/>
              </w:rPr>
              <w:t>A / B * 100 %</w:t>
            </w:r>
          </w:p>
        </w:tc>
        <w:tc>
          <w:tcPr>
            <w:tcW w:w="5642" w:type="dxa"/>
            <w:tcBorders>
              <w:top w:val="none" w:sz="0" w:space="0" w:color="000000"/>
              <w:left w:val="none" w:sz="0" w:space="0" w:color="000000"/>
              <w:bottom w:val="single" w:sz="4" w:space="0" w:color="000000"/>
              <w:right w:val="single" w:sz="4" w:space="0" w:color="000000"/>
            </w:tcBorders>
            <w:shd w:val="clear" w:color="auto" w:fill="auto"/>
            <w:vAlign w:val="center"/>
          </w:tcPr>
          <w:p w14:paraId="75FB52C0" w14:textId="77777777" w:rsidR="004E7B56" w:rsidRDefault="009C5AB4">
            <w:pPr>
              <w:spacing w:after="0" w:line="240" w:lineRule="auto"/>
            </w:pPr>
            <w:r>
              <w:rPr>
                <w:rFonts w:eastAsia="Times New Roman"/>
                <w:color w:val="000000"/>
                <w:szCs w:val="18"/>
                <w:lang w:eastAsia="cs-CZ"/>
              </w:rPr>
              <w:t xml:space="preserve">Podíl pohledávek na rozpočtu </w:t>
            </w:r>
          </w:p>
        </w:tc>
        <w:tc>
          <w:tcPr>
            <w:tcW w:w="2105" w:type="dxa"/>
            <w:tcBorders>
              <w:top w:val="none" w:sz="0" w:space="0" w:color="000000"/>
              <w:left w:val="none" w:sz="0" w:space="0" w:color="000000"/>
              <w:bottom w:val="single" w:sz="4" w:space="0" w:color="000000"/>
              <w:right w:val="single" w:sz="4" w:space="0" w:color="000000"/>
            </w:tcBorders>
            <w:shd w:val="clear" w:color="auto" w:fill="auto"/>
            <w:vAlign w:val="center"/>
          </w:tcPr>
          <w:p w14:paraId="45A28516" w14:textId="72311F9F" w:rsidR="004E7B56" w:rsidRDefault="00035B54">
            <w:pPr>
              <w:spacing w:after="0" w:line="240" w:lineRule="auto"/>
              <w:jc w:val="right"/>
            </w:pPr>
            <w:r w:rsidRPr="00035B54">
              <w:rPr>
                <w:rFonts w:eastAsia="Times New Roman"/>
                <w:color w:val="000000"/>
                <w:szCs w:val="18"/>
                <w:lang w:eastAsia="cs-CZ"/>
              </w:rPr>
              <w:t xml:space="preserve">3,30 </w:t>
            </w:r>
            <w:r>
              <w:rPr>
                <w:rFonts w:eastAsia="Times New Roman"/>
                <w:color w:val="000000"/>
                <w:szCs w:val="18"/>
                <w:lang w:eastAsia="cs-CZ"/>
              </w:rPr>
              <w:t>%</w:t>
            </w:r>
          </w:p>
        </w:tc>
      </w:tr>
    </w:tbl>
    <w:p w14:paraId="3BEE7D0C" w14:textId="77777777" w:rsidR="004E7B56" w:rsidRDefault="004E7B56"/>
    <w:p w14:paraId="474011BF" w14:textId="77777777" w:rsidR="004E7B56" w:rsidRDefault="009C5AB4">
      <w:pPr>
        <w:pStyle w:val="Nadpis3"/>
        <w:rPr>
          <w:color w:val="000000"/>
          <w:szCs w:val="18"/>
          <w:lang w:eastAsia="cs-CZ"/>
        </w:rPr>
      </w:pPr>
      <w:r>
        <w:t>Podíl závazků na rozpočtu</w:t>
      </w:r>
    </w:p>
    <w:tbl>
      <w:tblPr>
        <w:tblW w:w="0" w:type="auto"/>
        <w:jc w:val="center"/>
        <w:tblLayout w:type="fixed"/>
        <w:tblCellMar>
          <w:left w:w="70" w:type="dxa"/>
          <w:right w:w="70" w:type="dxa"/>
        </w:tblCellMar>
        <w:tblLook w:val="0000" w:firstRow="0" w:lastRow="0" w:firstColumn="0" w:lastColumn="0" w:noHBand="0" w:noVBand="0"/>
      </w:tblPr>
      <w:tblGrid>
        <w:gridCol w:w="1207"/>
        <w:gridCol w:w="5642"/>
        <w:gridCol w:w="2105"/>
      </w:tblGrid>
      <w:tr w:rsidR="004E7B56" w14:paraId="3AFDB6C0" w14:textId="77777777">
        <w:trPr>
          <w:trHeight w:val="270"/>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5A4CC" w14:textId="77777777" w:rsidR="004E7B56" w:rsidRDefault="009C5AB4">
            <w:pPr>
              <w:spacing w:after="0" w:line="240" w:lineRule="auto"/>
            </w:pPr>
            <w:r>
              <w:rPr>
                <w:rFonts w:eastAsia="Times New Roman"/>
                <w:color w:val="000000"/>
                <w:szCs w:val="18"/>
                <w:lang w:eastAsia="cs-CZ"/>
              </w:rPr>
              <w:t>C</w:t>
            </w:r>
          </w:p>
        </w:tc>
        <w:tc>
          <w:tcPr>
            <w:tcW w:w="5642" w:type="dxa"/>
            <w:tcBorders>
              <w:top w:val="single" w:sz="4" w:space="0" w:color="000000"/>
              <w:left w:val="none" w:sz="0" w:space="0" w:color="000000"/>
              <w:bottom w:val="single" w:sz="4" w:space="0" w:color="000000"/>
              <w:right w:val="single" w:sz="4" w:space="0" w:color="000000"/>
            </w:tcBorders>
            <w:shd w:val="clear" w:color="auto" w:fill="auto"/>
            <w:vAlign w:val="center"/>
          </w:tcPr>
          <w:p w14:paraId="0DC03334" w14:textId="77777777" w:rsidR="004E7B56" w:rsidRDefault="009C5AB4">
            <w:pPr>
              <w:spacing w:after="0" w:line="240" w:lineRule="auto"/>
            </w:pPr>
            <w:r>
              <w:rPr>
                <w:rFonts w:eastAsia="Times New Roman"/>
                <w:color w:val="000000"/>
                <w:szCs w:val="18"/>
                <w:lang w:eastAsia="cs-CZ"/>
              </w:rPr>
              <w:t>Závazky</w:t>
            </w:r>
          </w:p>
        </w:tc>
        <w:tc>
          <w:tcPr>
            <w:tcW w:w="2105" w:type="dxa"/>
            <w:tcBorders>
              <w:top w:val="single" w:sz="4" w:space="0" w:color="000000"/>
              <w:left w:val="none" w:sz="0" w:space="0" w:color="000000"/>
              <w:bottom w:val="single" w:sz="4" w:space="0" w:color="000000"/>
              <w:right w:val="single" w:sz="4" w:space="0" w:color="000000"/>
            </w:tcBorders>
            <w:shd w:val="clear" w:color="auto" w:fill="auto"/>
            <w:vAlign w:val="center"/>
          </w:tcPr>
          <w:p w14:paraId="21790691" w14:textId="1B05DC10" w:rsidR="004E7B56" w:rsidRDefault="00035B54">
            <w:pPr>
              <w:spacing w:after="0" w:line="240" w:lineRule="auto"/>
              <w:jc w:val="right"/>
            </w:pPr>
            <w:r w:rsidRPr="00035B54">
              <w:rPr>
                <w:rFonts w:eastAsia="Times New Roman"/>
                <w:color w:val="000000"/>
                <w:szCs w:val="18"/>
                <w:lang w:eastAsia="cs-CZ"/>
              </w:rPr>
              <w:t xml:space="preserve">10 756 346,69 </w:t>
            </w:r>
            <w:r>
              <w:rPr>
                <w:rFonts w:eastAsia="Times New Roman"/>
                <w:color w:val="000000"/>
                <w:szCs w:val="18"/>
                <w:lang w:eastAsia="cs-CZ"/>
              </w:rPr>
              <w:t>Kč</w:t>
            </w:r>
          </w:p>
        </w:tc>
      </w:tr>
      <w:tr w:rsidR="004E7B56" w14:paraId="449F2388" w14:textId="77777777">
        <w:trPr>
          <w:trHeight w:val="270"/>
          <w:jc w:val="center"/>
        </w:trPr>
        <w:tc>
          <w:tcPr>
            <w:tcW w:w="1207" w:type="dxa"/>
            <w:tcBorders>
              <w:top w:val="none" w:sz="0" w:space="0" w:color="000000"/>
              <w:left w:val="single" w:sz="4" w:space="0" w:color="000000"/>
              <w:bottom w:val="single" w:sz="4" w:space="0" w:color="000000"/>
              <w:right w:val="single" w:sz="4" w:space="0" w:color="000000"/>
            </w:tcBorders>
            <w:shd w:val="clear" w:color="auto" w:fill="auto"/>
            <w:vAlign w:val="center"/>
          </w:tcPr>
          <w:p w14:paraId="3258C7EE" w14:textId="77777777" w:rsidR="004E7B56" w:rsidRDefault="009C5AB4">
            <w:pPr>
              <w:spacing w:after="0" w:line="240" w:lineRule="auto"/>
            </w:pPr>
            <w:r>
              <w:rPr>
                <w:rFonts w:eastAsia="Times New Roman"/>
                <w:color w:val="000000"/>
                <w:szCs w:val="18"/>
                <w:lang w:eastAsia="cs-CZ"/>
              </w:rPr>
              <w:t>B</w:t>
            </w:r>
          </w:p>
        </w:tc>
        <w:tc>
          <w:tcPr>
            <w:tcW w:w="5642" w:type="dxa"/>
            <w:tcBorders>
              <w:top w:val="none" w:sz="0" w:space="0" w:color="000000"/>
              <w:left w:val="none" w:sz="0" w:space="0" w:color="000000"/>
              <w:bottom w:val="single" w:sz="4" w:space="0" w:color="000000"/>
              <w:right w:val="single" w:sz="4" w:space="0" w:color="000000"/>
            </w:tcBorders>
            <w:shd w:val="clear" w:color="auto" w:fill="auto"/>
            <w:vAlign w:val="center"/>
          </w:tcPr>
          <w:p w14:paraId="12FAC9AF" w14:textId="77777777" w:rsidR="004E7B56" w:rsidRDefault="009C5AB4">
            <w:pPr>
              <w:spacing w:after="0" w:line="240" w:lineRule="auto"/>
            </w:pPr>
            <w:r>
              <w:rPr>
                <w:rFonts w:eastAsia="Times New Roman"/>
                <w:color w:val="000000"/>
                <w:szCs w:val="18"/>
                <w:lang w:eastAsia="cs-CZ"/>
              </w:rPr>
              <w:t>Rozpočtové příjmy celkem</w:t>
            </w:r>
          </w:p>
        </w:tc>
        <w:tc>
          <w:tcPr>
            <w:tcW w:w="2105" w:type="dxa"/>
            <w:tcBorders>
              <w:top w:val="none" w:sz="0" w:space="0" w:color="000000"/>
              <w:left w:val="none" w:sz="0" w:space="0" w:color="000000"/>
              <w:bottom w:val="single" w:sz="4" w:space="0" w:color="000000"/>
              <w:right w:val="single" w:sz="4" w:space="0" w:color="000000"/>
            </w:tcBorders>
            <w:shd w:val="clear" w:color="auto" w:fill="auto"/>
            <w:vAlign w:val="center"/>
          </w:tcPr>
          <w:p w14:paraId="3A17F858" w14:textId="061BF6B1" w:rsidR="004E7B56" w:rsidRDefault="00DC250C">
            <w:pPr>
              <w:spacing w:after="0" w:line="240" w:lineRule="auto"/>
              <w:jc w:val="right"/>
            </w:pPr>
            <w:r>
              <w:rPr>
                <w:rFonts w:eastAsia="Times New Roman"/>
                <w:color w:val="000000"/>
                <w:szCs w:val="18"/>
                <w:lang w:eastAsia="cs-CZ"/>
              </w:rPr>
              <w:t>69 558 105,26</w:t>
            </w:r>
            <w:r w:rsidRPr="00035B54">
              <w:rPr>
                <w:rFonts w:eastAsia="Times New Roman"/>
                <w:color w:val="000000"/>
                <w:szCs w:val="18"/>
                <w:lang w:eastAsia="cs-CZ"/>
              </w:rPr>
              <w:t xml:space="preserve"> </w:t>
            </w:r>
            <w:r>
              <w:rPr>
                <w:rFonts w:eastAsia="Times New Roman"/>
                <w:color w:val="000000"/>
                <w:szCs w:val="18"/>
                <w:lang w:eastAsia="cs-CZ"/>
              </w:rPr>
              <w:t>Kč</w:t>
            </w:r>
          </w:p>
        </w:tc>
      </w:tr>
      <w:tr w:rsidR="004E7B56" w14:paraId="4EAC8B2E" w14:textId="77777777">
        <w:trPr>
          <w:trHeight w:val="270"/>
          <w:jc w:val="center"/>
        </w:trPr>
        <w:tc>
          <w:tcPr>
            <w:tcW w:w="1207" w:type="dxa"/>
            <w:tcBorders>
              <w:top w:val="none" w:sz="0" w:space="0" w:color="000000"/>
              <w:left w:val="single" w:sz="4" w:space="0" w:color="000000"/>
              <w:bottom w:val="single" w:sz="4" w:space="0" w:color="000000"/>
              <w:right w:val="single" w:sz="4" w:space="0" w:color="000000"/>
            </w:tcBorders>
            <w:shd w:val="clear" w:color="auto" w:fill="auto"/>
            <w:vAlign w:val="center"/>
          </w:tcPr>
          <w:p w14:paraId="2822F0E6" w14:textId="77777777" w:rsidR="004E7B56" w:rsidRDefault="009C5AB4">
            <w:pPr>
              <w:spacing w:after="0" w:line="240" w:lineRule="auto"/>
            </w:pPr>
            <w:r>
              <w:rPr>
                <w:rFonts w:eastAsia="Times New Roman"/>
                <w:color w:val="000000"/>
                <w:szCs w:val="18"/>
                <w:lang w:eastAsia="cs-CZ"/>
              </w:rPr>
              <w:t>C / B * 100 %</w:t>
            </w:r>
          </w:p>
        </w:tc>
        <w:tc>
          <w:tcPr>
            <w:tcW w:w="5642" w:type="dxa"/>
            <w:tcBorders>
              <w:top w:val="none" w:sz="0" w:space="0" w:color="000000"/>
              <w:left w:val="none" w:sz="0" w:space="0" w:color="000000"/>
              <w:bottom w:val="single" w:sz="4" w:space="0" w:color="000000"/>
              <w:right w:val="single" w:sz="4" w:space="0" w:color="000000"/>
            </w:tcBorders>
            <w:shd w:val="clear" w:color="auto" w:fill="auto"/>
            <w:vAlign w:val="center"/>
          </w:tcPr>
          <w:p w14:paraId="5F806EE3" w14:textId="77777777" w:rsidR="004E7B56" w:rsidRDefault="009C5AB4">
            <w:pPr>
              <w:spacing w:after="0" w:line="240" w:lineRule="auto"/>
            </w:pPr>
            <w:r>
              <w:rPr>
                <w:rFonts w:eastAsia="Times New Roman"/>
                <w:color w:val="000000"/>
                <w:szCs w:val="18"/>
                <w:lang w:eastAsia="cs-CZ"/>
              </w:rPr>
              <w:t xml:space="preserve">Podíl závazků na rozpočtu </w:t>
            </w:r>
          </w:p>
        </w:tc>
        <w:tc>
          <w:tcPr>
            <w:tcW w:w="2105" w:type="dxa"/>
            <w:tcBorders>
              <w:top w:val="none" w:sz="0" w:space="0" w:color="000000"/>
              <w:left w:val="none" w:sz="0" w:space="0" w:color="000000"/>
              <w:bottom w:val="single" w:sz="4" w:space="0" w:color="000000"/>
              <w:right w:val="single" w:sz="4" w:space="0" w:color="000000"/>
            </w:tcBorders>
            <w:shd w:val="clear" w:color="auto" w:fill="auto"/>
            <w:vAlign w:val="center"/>
          </w:tcPr>
          <w:p w14:paraId="5D2AD14E" w14:textId="2822F54A" w:rsidR="004E7B56" w:rsidRDefault="00A32D1E">
            <w:pPr>
              <w:spacing w:after="0" w:line="240" w:lineRule="auto"/>
              <w:jc w:val="right"/>
            </w:pPr>
            <w:r w:rsidRPr="00A32D1E">
              <w:rPr>
                <w:rFonts w:eastAsia="Times New Roman"/>
                <w:color w:val="000000"/>
                <w:szCs w:val="18"/>
                <w:lang w:eastAsia="cs-CZ"/>
              </w:rPr>
              <w:t>15,46</w:t>
            </w:r>
            <w:r>
              <w:rPr>
                <w:rFonts w:eastAsia="Times New Roman"/>
                <w:color w:val="000000"/>
                <w:szCs w:val="18"/>
                <w:lang w:eastAsia="cs-CZ"/>
              </w:rPr>
              <w:t xml:space="preserve"> %</w:t>
            </w:r>
          </w:p>
        </w:tc>
      </w:tr>
    </w:tbl>
    <w:p w14:paraId="3E3DC903" w14:textId="77777777" w:rsidR="004E7B56" w:rsidRDefault="004E7B56">
      <w:pPr>
        <w:rPr>
          <w:lang w:val="x-none"/>
        </w:rPr>
      </w:pPr>
    </w:p>
    <w:p w14:paraId="28804B9F" w14:textId="77777777" w:rsidR="000E37B2" w:rsidRDefault="000E37B2">
      <w:pPr>
        <w:rPr>
          <w:lang w:val="x-none"/>
        </w:rPr>
      </w:pPr>
    </w:p>
    <w:p w14:paraId="5E33D02C" w14:textId="77777777" w:rsidR="000E37B2" w:rsidRDefault="000E37B2">
      <w:pPr>
        <w:rPr>
          <w:lang w:val="x-none"/>
        </w:rPr>
      </w:pPr>
    </w:p>
    <w:p w14:paraId="63555D9E" w14:textId="77777777" w:rsidR="004E7B56" w:rsidRDefault="009C5AB4">
      <w:pPr>
        <w:pStyle w:val="Nadpis3"/>
        <w:rPr>
          <w:color w:val="000000"/>
          <w:szCs w:val="18"/>
          <w:lang w:eastAsia="cs-CZ"/>
        </w:rPr>
      </w:pPr>
      <w:r>
        <w:t>Podíl zastaveného majetku na celkovém majetku</w:t>
      </w:r>
    </w:p>
    <w:tbl>
      <w:tblPr>
        <w:tblW w:w="0" w:type="auto"/>
        <w:jc w:val="center"/>
        <w:tblLayout w:type="fixed"/>
        <w:tblCellMar>
          <w:left w:w="70" w:type="dxa"/>
          <w:right w:w="70" w:type="dxa"/>
        </w:tblCellMar>
        <w:tblLook w:val="0000" w:firstRow="0" w:lastRow="0" w:firstColumn="0" w:lastColumn="0" w:noHBand="0" w:noVBand="0"/>
      </w:tblPr>
      <w:tblGrid>
        <w:gridCol w:w="1207"/>
        <w:gridCol w:w="5642"/>
        <w:gridCol w:w="2105"/>
      </w:tblGrid>
      <w:tr w:rsidR="004E7B56" w14:paraId="1BB63192" w14:textId="77777777">
        <w:trPr>
          <w:trHeight w:val="270"/>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54F5" w14:textId="77777777" w:rsidR="004E7B56" w:rsidRDefault="009C5AB4">
            <w:pPr>
              <w:spacing w:after="0" w:line="240" w:lineRule="auto"/>
            </w:pPr>
            <w:r>
              <w:rPr>
                <w:rFonts w:eastAsia="Times New Roman"/>
                <w:color w:val="000000"/>
                <w:szCs w:val="18"/>
                <w:lang w:eastAsia="cs-CZ"/>
              </w:rPr>
              <w:t>D</w:t>
            </w:r>
          </w:p>
        </w:tc>
        <w:tc>
          <w:tcPr>
            <w:tcW w:w="5642" w:type="dxa"/>
            <w:tcBorders>
              <w:top w:val="single" w:sz="4" w:space="0" w:color="000000"/>
              <w:left w:val="none" w:sz="0" w:space="0" w:color="000000"/>
              <w:bottom w:val="single" w:sz="4" w:space="0" w:color="000000"/>
              <w:right w:val="single" w:sz="4" w:space="0" w:color="000000"/>
            </w:tcBorders>
            <w:shd w:val="clear" w:color="auto" w:fill="auto"/>
            <w:vAlign w:val="center"/>
          </w:tcPr>
          <w:p w14:paraId="4AC91DAF" w14:textId="77777777" w:rsidR="004E7B56" w:rsidRDefault="009C5AB4">
            <w:pPr>
              <w:spacing w:after="0" w:line="240" w:lineRule="auto"/>
            </w:pPr>
            <w:r>
              <w:rPr>
                <w:rFonts w:eastAsia="Times New Roman"/>
                <w:color w:val="000000"/>
                <w:lang w:eastAsia="cs-CZ"/>
              </w:rPr>
              <w:t>Zastavený majetek</w:t>
            </w:r>
          </w:p>
        </w:tc>
        <w:tc>
          <w:tcPr>
            <w:tcW w:w="2105" w:type="dxa"/>
            <w:tcBorders>
              <w:top w:val="single" w:sz="4" w:space="0" w:color="000000"/>
              <w:left w:val="none" w:sz="0" w:space="0" w:color="000000"/>
              <w:bottom w:val="single" w:sz="4" w:space="0" w:color="000000"/>
              <w:right w:val="single" w:sz="4" w:space="0" w:color="000000"/>
            </w:tcBorders>
            <w:shd w:val="clear" w:color="auto" w:fill="auto"/>
            <w:vAlign w:val="center"/>
          </w:tcPr>
          <w:p w14:paraId="2084A4E2" w14:textId="77777777" w:rsidR="004E7B56" w:rsidRDefault="009C5AB4">
            <w:pPr>
              <w:spacing w:after="0" w:line="240" w:lineRule="auto"/>
              <w:jc w:val="right"/>
            </w:pPr>
            <w:r>
              <w:rPr>
                <w:rFonts w:eastAsia="Times New Roman"/>
                <w:color w:val="000000"/>
                <w:szCs w:val="18"/>
                <w:lang w:eastAsia="cs-CZ"/>
              </w:rPr>
              <w:t>0 Kč</w:t>
            </w:r>
          </w:p>
        </w:tc>
      </w:tr>
      <w:tr w:rsidR="004E7B56" w14:paraId="0A2E2392" w14:textId="77777777">
        <w:trPr>
          <w:trHeight w:val="270"/>
          <w:jc w:val="center"/>
        </w:trPr>
        <w:tc>
          <w:tcPr>
            <w:tcW w:w="1207" w:type="dxa"/>
            <w:tcBorders>
              <w:top w:val="none" w:sz="0" w:space="0" w:color="000000"/>
              <w:left w:val="single" w:sz="4" w:space="0" w:color="000000"/>
              <w:bottom w:val="single" w:sz="4" w:space="0" w:color="000000"/>
              <w:right w:val="single" w:sz="4" w:space="0" w:color="000000"/>
            </w:tcBorders>
            <w:shd w:val="clear" w:color="auto" w:fill="auto"/>
            <w:vAlign w:val="center"/>
          </w:tcPr>
          <w:p w14:paraId="37985BBF" w14:textId="77777777" w:rsidR="004E7B56" w:rsidRDefault="009C5AB4">
            <w:pPr>
              <w:spacing w:after="0" w:line="240" w:lineRule="auto"/>
            </w:pPr>
            <w:r>
              <w:rPr>
                <w:rFonts w:eastAsia="Times New Roman"/>
                <w:color w:val="000000"/>
                <w:szCs w:val="18"/>
                <w:lang w:eastAsia="cs-CZ"/>
              </w:rPr>
              <w:t>E</w:t>
            </w:r>
          </w:p>
        </w:tc>
        <w:tc>
          <w:tcPr>
            <w:tcW w:w="5642" w:type="dxa"/>
            <w:tcBorders>
              <w:top w:val="none" w:sz="0" w:space="0" w:color="000000"/>
              <w:left w:val="none" w:sz="0" w:space="0" w:color="000000"/>
              <w:bottom w:val="single" w:sz="4" w:space="0" w:color="000000"/>
              <w:right w:val="single" w:sz="4" w:space="0" w:color="000000"/>
            </w:tcBorders>
            <w:shd w:val="clear" w:color="auto" w:fill="auto"/>
            <w:vAlign w:val="center"/>
          </w:tcPr>
          <w:p w14:paraId="6B048095" w14:textId="77777777" w:rsidR="004E7B56" w:rsidRDefault="009C5AB4">
            <w:pPr>
              <w:spacing w:after="0" w:line="240" w:lineRule="auto"/>
            </w:pPr>
            <w:r>
              <w:rPr>
                <w:rFonts w:eastAsia="Times New Roman"/>
                <w:color w:val="000000"/>
                <w:lang w:eastAsia="cs-CZ"/>
              </w:rPr>
              <w:t xml:space="preserve">Stálá aktiva brutto </w:t>
            </w:r>
          </w:p>
        </w:tc>
        <w:tc>
          <w:tcPr>
            <w:tcW w:w="2105" w:type="dxa"/>
            <w:tcBorders>
              <w:top w:val="none" w:sz="0" w:space="0" w:color="000000"/>
              <w:left w:val="none" w:sz="0" w:space="0" w:color="000000"/>
              <w:bottom w:val="single" w:sz="4" w:space="0" w:color="000000"/>
              <w:right w:val="single" w:sz="4" w:space="0" w:color="000000"/>
            </w:tcBorders>
            <w:shd w:val="clear" w:color="auto" w:fill="auto"/>
            <w:vAlign w:val="center"/>
          </w:tcPr>
          <w:p w14:paraId="26C5B7EF" w14:textId="79A1A173" w:rsidR="004E7B56" w:rsidRPr="00A32D1E" w:rsidRDefault="00A32D1E" w:rsidP="00A32D1E">
            <w:pPr>
              <w:suppressAutoHyphens w:val="0"/>
              <w:spacing w:after="0" w:line="240" w:lineRule="auto"/>
              <w:jc w:val="right"/>
              <w:rPr>
                <w:rFonts w:eastAsia="Times New Roman" w:cs="Calibri"/>
                <w:b/>
                <w:bCs/>
                <w:color w:val="000000"/>
                <w:sz w:val="22"/>
                <w:lang w:eastAsia="cs-CZ"/>
              </w:rPr>
            </w:pPr>
            <w:r w:rsidRPr="00A32D1E">
              <w:rPr>
                <w:rFonts w:cs="Calibri"/>
                <w:color w:val="000000"/>
                <w:szCs w:val="18"/>
              </w:rPr>
              <w:t>872 996 669,98</w:t>
            </w:r>
            <w:r w:rsidRPr="00A32D1E">
              <w:rPr>
                <w:rFonts w:eastAsia="Times New Roman"/>
                <w:color w:val="000000"/>
                <w:sz w:val="14"/>
                <w:szCs w:val="14"/>
                <w:lang w:eastAsia="cs-CZ"/>
              </w:rPr>
              <w:t xml:space="preserve"> </w:t>
            </w:r>
            <w:r>
              <w:rPr>
                <w:rFonts w:eastAsia="Times New Roman"/>
                <w:color w:val="000000"/>
                <w:szCs w:val="18"/>
                <w:lang w:eastAsia="cs-CZ"/>
              </w:rPr>
              <w:t>Kč</w:t>
            </w:r>
          </w:p>
        </w:tc>
      </w:tr>
      <w:tr w:rsidR="004E7B56" w14:paraId="41D0E628" w14:textId="77777777">
        <w:trPr>
          <w:trHeight w:val="270"/>
          <w:jc w:val="center"/>
        </w:trPr>
        <w:tc>
          <w:tcPr>
            <w:tcW w:w="1207" w:type="dxa"/>
            <w:tcBorders>
              <w:top w:val="none" w:sz="0" w:space="0" w:color="000000"/>
              <w:left w:val="single" w:sz="4" w:space="0" w:color="000000"/>
              <w:bottom w:val="single" w:sz="4" w:space="0" w:color="000000"/>
              <w:right w:val="single" w:sz="4" w:space="0" w:color="000000"/>
            </w:tcBorders>
            <w:shd w:val="clear" w:color="auto" w:fill="auto"/>
            <w:vAlign w:val="center"/>
          </w:tcPr>
          <w:p w14:paraId="2717400D" w14:textId="77777777" w:rsidR="004E7B56" w:rsidRDefault="009C5AB4">
            <w:pPr>
              <w:spacing w:after="0" w:line="240" w:lineRule="auto"/>
            </w:pPr>
            <w:r>
              <w:rPr>
                <w:rFonts w:eastAsia="Times New Roman"/>
                <w:color w:val="000000"/>
                <w:szCs w:val="18"/>
                <w:lang w:eastAsia="cs-CZ"/>
              </w:rPr>
              <w:t>D / E * 100 %</w:t>
            </w:r>
          </w:p>
        </w:tc>
        <w:tc>
          <w:tcPr>
            <w:tcW w:w="5642" w:type="dxa"/>
            <w:tcBorders>
              <w:top w:val="none" w:sz="0" w:space="0" w:color="000000"/>
              <w:left w:val="none" w:sz="0" w:space="0" w:color="000000"/>
              <w:bottom w:val="single" w:sz="4" w:space="0" w:color="000000"/>
              <w:right w:val="single" w:sz="4" w:space="0" w:color="000000"/>
            </w:tcBorders>
            <w:shd w:val="clear" w:color="auto" w:fill="auto"/>
            <w:vAlign w:val="center"/>
          </w:tcPr>
          <w:p w14:paraId="42010C69" w14:textId="77777777" w:rsidR="004E7B56" w:rsidRDefault="009C5AB4">
            <w:pPr>
              <w:spacing w:after="0" w:line="240" w:lineRule="auto"/>
            </w:pPr>
            <w:r>
              <w:rPr>
                <w:rFonts w:eastAsia="Times New Roman"/>
                <w:color w:val="000000"/>
                <w:lang w:eastAsia="cs-CZ"/>
              </w:rPr>
              <w:t>Podíl zastaveného majetku na celkovém majetku</w:t>
            </w:r>
          </w:p>
        </w:tc>
        <w:tc>
          <w:tcPr>
            <w:tcW w:w="2105" w:type="dxa"/>
            <w:tcBorders>
              <w:top w:val="none" w:sz="0" w:space="0" w:color="000000"/>
              <w:left w:val="none" w:sz="0" w:space="0" w:color="000000"/>
              <w:bottom w:val="single" w:sz="4" w:space="0" w:color="000000"/>
              <w:right w:val="single" w:sz="4" w:space="0" w:color="000000"/>
            </w:tcBorders>
            <w:shd w:val="clear" w:color="auto" w:fill="auto"/>
            <w:vAlign w:val="center"/>
          </w:tcPr>
          <w:p w14:paraId="3D46023E" w14:textId="77777777" w:rsidR="004E7B56" w:rsidRDefault="009C5AB4">
            <w:pPr>
              <w:spacing w:after="0" w:line="240" w:lineRule="auto"/>
              <w:jc w:val="right"/>
            </w:pPr>
            <w:r>
              <w:rPr>
                <w:rFonts w:eastAsia="Times New Roman"/>
                <w:color w:val="000000"/>
                <w:szCs w:val="18"/>
                <w:lang w:eastAsia="cs-CZ"/>
              </w:rPr>
              <w:t>0 %</w:t>
            </w:r>
          </w:p>
        </w:tc>
      </w:tr>
    </w:tbl>
    <w:p w14:paraId="061A5A03" w14:textId="77777777" w:rsidR="004E7B56" w:rsidRDefault="004E7B56">
      <w:pPr>
        <w:rPr>
          <w:lang w:val="x-none"/>
        </w:rPr>
      </w:pPr>
    </w:p>
    <w:p w14:paraId="3BFBD186" w14:textId="77777777" w:rsidR="004E7B56" w:rsidRDefault="009C5AB4">
      <w:pPr>
        <w:pStyle w:val="Nadpis2"/>
        <w:rPr>
          <w:szCs w:val="18"/>
        </w:rPr>
      </w:pPr>
      <w:r>
        <w:t>Vyjádření k poměru dluhu územního celku k poměru jeho příjmů za poslední čtyři rozpočtové roky podle právního předpisu upravujícího rozpočtovou odpovědnost</w:t>
      </w:r>
    </w:p>
    <w:p w14:paraId="46A1D081" w14:textId="0A028668" w:rsidR="004E7B56" w:rsidRDefault="009C5AB4" w:rsidP="004F72DE">
      <w:pPr>
        <w:spacing w:before="120"/>
        <w:rPr>
          <w:szCs w:val="18"/>
        </w:rPr>
      </w:pPr>
      <w:r>
        <w:rPr>
          <w:szCs w:val="18"/>
        </w:rPr>
        <w:t>U městských částí Hlavního města Prahy se neuplatňují pravidla rozpočtové odpovědnosti stanovená v ustanovení §</w:t>
      </w:r>
      <w:r w:rsidR="005954A3">
        <w:rPr>
          <w:szCs w:val="18"/>
        </w:rPr>
        <w:t> </w:t>
      </w:r>
      <w:r>
        <w:rPr>
          <w:szCs w:val="18"/>
        </w:rPr>
        <w:t>17 zákona č. 23/2017 Sb., o pravidlech rozpočtové odpovědnosti, ve znění pozdějších předpisů, proto nebyl ověřován poměr dluhu územního celku k průměru jeho příjmů za poslední 4 rozpočtové roky podle právního předpisu upravujícího rozpočtovou odpovědnost (viz předmět přezkoumání uvedený v ustanovení § 2 odst. 2 písm. i) zákona č. 420/2004 Sb.).</w:t>
      </w:r>
    </w:p>
    <w:p w14:paraId="48C8C200" w14:textId="77777777" w:rsidR="004E7B56" w:rsidRDefault="004E7B56">
      <w:pPr>
        <w:rPr>
          <w:szCs w:val="18"/>
        </w:rPr>
      </w:pPr>
    </w:p>
    <w:p w14:paraId="58C74B5F" w14:textId="77777777" w:rsidR="004E7B56" w:rsidRDefault="009C5AB4">
      <w:pPr>
        <w:pStyle w:val="Nadpis2"/>
        <w:rPr>
          <w:szCs w:val="18"/>
        </w:rPr>
      </w:pPr>
      <w:r>
        <w:t>D</w:t>
      </w:r>
      <w:r>
        <w:rPr>
          <w:lang w:val="cs-CZ"/>
        </w:rPr>
        <w:t>alší informace</w:t>
      </w:r>
    </w:p>
    <w:p w14:paraId="70A35F63" w14:textId="77777777" w:rsidR="004E7B56" w:rsidRDefault="009C5AB4">
      <w:pPr>
        <w:rPr>
          <w:szCs w:val="18"/>
        </w:rPr>
      </w:pPr>
      <w:r>
        <w:rPr>
          <w:b/>
          <w:szCs w:val="18"/>
        </w:rPr>
        <w:t>Stanovisko územního samosprávného celku Městské části Praha - Vinoř k návrhu zprávy o výsledku přezkoumání hospodaření</w:t>
      </w:r>
    </w:p>
    <w:p w14:paraId="468F5E0A" w14:textId="77777777" w:rsidR="004E7B56" w:rsidRDefault="009C5AB4">
      <w:r>
        <w:rPr>
          <w:szCs w:val="18"/>
        </w:rPr>
        <w:t xml:space="preserve">Přílohou této zprávy o výsledcích přezkoumání hospodaření je, v souladu s ustanovením § 7 písm. c) zákona č. 420/2004 Sb., i písemné stanovisko obce k návrhu zprávy o výsledku přezkoumání hospodaření. </w:t>
      </w:r>
    </w:p>
    <w:p w14:paraId="05176FE4" w14:textId="00C3DCBF" w:rsidR="004E7B56" w:rsidRDefault="009C5AB4">
      <w:r>
        <w:t>Datum vyhotovení zprávy</w:t>
      </w:r>
      <w:r w:rsidRPr="0055249F">
        <w:rPr>
          <w:color w:val="000000" w:themeColor="text1"/>
        </w:rPr>
        <w:t xml:space="preserve">: </w:t>
      </w:r>
      <w:r w:rsidR="00464475">
        <w:rPr>
          <w:color w:val="000000" w:themeColor="text1"/>
        </w:rPr>
        <w:t>11.</w:t>
      </w:r>
      <w:r w:rsidR="00650F6E">
        <w:rPr>
          <w:color w:val="000000" w:themeColor="text1"/>
        </w:rPr>
        <w:t xml:space="preserve"> </w:t>
      </w:r>
      <w:r w:rsidRPr="0055249F">
        <w:rPr>
          <w:color w:val="000000" w:themeColor="text1"/>
        </w:rPr>
        <w:t>4.</w:t>
      </w:r>
      <w:r w:rsidR="00650F6E">
        <w:rPr>
          <w:color w:val="000000" w:themeColor="text1"/>
        </w:rPr>
        <w:t xml:space="preserve"> </w:t>
      </w:r>
      <w:r w:rsidRPr="0055249F">
        <w:rPr>
          <w:color w:val="000000" w:themeColor="text1"/>
        </w:rPr>
        <w:t>202</w:t>
      </w:r>
      <w:r w:rsidR="005954A3" w:rsidRPr="0055249F">
        <w:rPr>
          <w:color w:val="000000" w:themeColor="text1"/>
        </w:rPr>
        <w:t>5</w:t>
      </w:r>
    </w:p>
    <w:p w14:paraId="6F2C3187" w14:textId="77777777" w:rsidR="004E7B56" w:rsidRDefault="004E7B56"/>
    <w:p w14:paraId="59F316DD" w14:textId="77777777" w:rsidR="004E7B56" w:rsidRDefault="004E7B56"/>
    <w:p w14:paraId="5DC0F29A" w14:textId="77777777" w:rsidR="004E7B56" w:rsidRDefault="004E7B56"/>
    <w:p w14:paraId="4E27E160" w14:textId="0F981F89" w:rsidR="004E7B56" w:rsidRDefault="009C5AB4">
      <w:pPr>
        <w:spacing w:after="0"/>
      </w:pPr>
      <w:r>
        <w:t xml:space="preserve">Auditorská </w:t>
      </w:r>
      <w:r w:rsidR="00D24004">
        <w:t xml:space="preserve">společnost:  </w:t>
      </w:r>
      <w:r>
        <w:t xml:space="preserve">                                                                      </w:t>
      </w:r>
      <w:r>
        <w:tab/>
        <w:t xml:space="preserve">                 Auditor:</w:t>
      </w:r>
    </w:p>
    <w:p w14:paraId="6AFDFB23" w14:textId="546B6B66" w:rsidR="004E7B56" w:rsidRDefault="009C5AB4">
      <w:pPr>
        <w:spacing w:after="0"/>
      </w:pPr>
      <w:r>
        <w:t>Nexia AP,</w:t>
      </w:r>
      <w:r w:rsidR="00D24004">
        <w:t xml:space="preserve"> </w:t>
      </w:r>
      <w:r>
        <w:t xml:space="preserve">a.s.      </w:t>
      </w:r>
      <w:r>
        <w:tab/>
      </w:r>
      <w:r>
        <w:tab/>
      </w:r>
      <w:r>
        <w:tab/>
      </w:r>
      <w:r>
        <w:tab/>
      </w:r>
      <w:r>
        <w:tab/>
      </w:r>
      <w:r>
        <w:tab/>
      </w:r>
      <w:r>
        <w:tab/>
        <w:t>Ing. M</w:t>
      </w:r>
      <w:r w:rsidR="00D24004">
        <w:t>ichal Kupsa</w:t>
      </w:r>
    </w:p>
    <w:p w14:paraId="2C9850B2" w14:textId="2EC534E3" w:rsidR="004E7B56" w:rsidRDefault="009C5AB4">
      <w:pPr>
        <w:spacing w:after="0"/>
      </w:pPr>
      <w:r>
        <w:t>Evidenční číslo auditorské společnosti 96</w:t>
      </w:r>
      <w:r>
        <w:tab/>
      </w:r>
      <w:r>
        <w:tab/>
      </w:r>
      <w:r>
        <w:tab/>
      </w:r>
      <w:r>
        <w:tab/>
        <w:t xml:space="preserve">Evidenční číslo auditora </w:t>
      </w:r>
      <w:r w:rsidR="00A7194F" w:rsidRPr="006E37AF">
        <w:rPr>
          <w:szCs w:val="20"/>
        </w:rPr>
        <w:t>2599</w:t>
      </w:r>
      <w:r>
        <w:tab/>
      </w:r>
      <w:r>
        <w:tab/>
      </w:r>
      <w:r>
        <w:tab/>
      </w:r>
      <w:r>
        <w:tab/>
      </w:r>
      <w:r>
        <w:tab/>
      </w:r>
      <w:r>
        <w:tab/>
        <w:t xml:space="preserve"> </w:t>
      </w:r>
    </w:p>
    <w:p w14:paraId="6A5C948D" w14:textId="77777777" w:rsidR="004E7B56" w:rsidRDefault="004E7B56">
      <w:pPr>
        <w:spacing w:after="0"/>
      </w:pPr>
    </w:p>
    <w:p w14:paraId="7CBBE7E5" w14:textId="77777777" w:rsidR="004E7B56" w:rsidRDefault="004E7B56">
      <w:pPr>
        <w:spacing w:after="0"/>
      </w:pPr>
    </w:p>
    <w:p w14:paraId="4FBC3400" w14:textId="77777777" w:rsidR="004E7B56" w:rsidRDefault="004E7B56"/>
    <w:p w14:paraId="0223CEED" w14:textId="7550171A" w:rsidR="004E7B56" w:rsidRDefault="009C5AB4">
      <w:r>
        <w:t xml:space="preserve">Zpráva projednána se </w:t>
      </w:r>
      <w:r w:rsidR="00D63364">
        <w:t>statutárním zástupcem</w:t>
      </w:r>
      <w:r w:rsidR="003921D4">
        <w:t xml:space="preserve"> m</w:t>
      </w:r>
      <w:r>
        <w:t xml:space="preserve">ěstské části </w:t>
      </w:r>
      <w:r w:rsidR="00D63364">
        <w:t>Praha – Vinoř</w:t>
      </w:r>
      <w:r>
        <w:t xml:space="preserve"> dne </w:t>
      </w:r>
      <w:r w:rsidR="004C16AD">
        <w:t>11. 4.</w:t>
      </w:r>
      <w:r>
        <w:t xml:space="preserve"> 202</w:t>
      </w:r>
      <w:r w:rsidR="006F7204">
        <w:t>5</w:t>
      </w:r>
      <w:r w:rsidR="004C16AD">
        <w:t>.</w:t>
      </w:r>
    </w:p>
    <w:p w14:paraId="32C6154B" w14:textId="77777777" w:rsidR="004E7B56" w:rsidRDefault="004E7B56"/>
    <w:p w14:paraId="495C6E08" w14:textId="77777777" w:rsidR="004E7B56" w:rsidRDefault="004E7B56"/>
    <w:p w14:paraId="79F614BA" w14:textId="77777777" w:rsidR="004E7B56" w:rsidRDefault="004E7B56"/>
    <w:p w14:paraId="70860C05" w14:textId="77777777" w:rsidR="004E7B56" w:rsidRDefault="009C5AB4">
      <w:r>
        <w:tab/>
      </w:r>
      <w:r>
        <w:tab/>
      </w:r>
      <w:r>
        <w:tab/>
      </w:r>
      <w:r>
        <w:tab/>
      </w:r>
      <w:r>
        <w:tab/>
      </w:r>
      <w:r>
        <w:tab/>
        <w:t xml:space="preserve">    ………………………………………………………………….</w:t>
      </w:r>
    </w:p>
    <w:p w14:paraId="6187FDBF" w14:textId="77777777" w:rsidR="004E7B56" w:rsidRDefault="004E7B56"/>
    <w:p w14:paraId="391E71D0" w14:textId="2E25B6C2" w:rsidR="004E7B56" w:rsidRDefault="009C5AB4">
      <w:pPr>
        <w:rPr>
          <w:rFonts w:cs="Calibri"/>
          <w:b/>
          <w:u w:val="single"/>
        </w:rPr>
      </w:pPr>
      <w:r>
        <w:rPr>
          <w:rFonts w:cs="Calibri"/>
        </w:rPr>
        <w:t xml:space="preserve">                                                                                                      </w:t>
      </w:r>
      <w:r>
        <w:tab/>
      </w:r>
      <w:r>
        <w:tab/>
        <w:t xml:space="preserve">     Podpis </w:t>
      </w:r>
      <w:r w:rsidR="00D63364">
        <w:t>statutárního zástupce</w:t>
      </w:r>
    </w:p>
    <w:p w14:paraId="34C94A45" w14:textId="77777777" w:rsidR="00A7194F" w:rsidRDefault="009C5AB4">
      <w:pPr>
        <w:rPr>
          <w:rFonts w:cs="Calibri"/>
          <w:b/>
          <w:u w:val="single"/>
        </w:rPr>
      </w:pPr>
      <w:r>
        <w:rPr>
          <w:rFonts w:cs="Calibri"/>
          <w:b/>
          <w:u w:val="single"/>
        </w:rPr>
        <w:t xml:space="preserve">                                                                                                                                                                                                                                                                           </w:t>
      </w:r>
    </w:p>
    <w:p w14:paraId="251EBA56" w14:textId="77777777" w:rsidR="00A7194F" w:rsidRDefault="00A7194F">
      <w:pPr>
        <w:rPr>
          <w:rFonts w:cs="Calibri"/>
          <w:b/>
          <w:u w:val="single"/>
        </w:rPr>
      </w:pPr>
    </w:p>
    <w:p w14:paraId="600101D7" w14:textId="26DF4B56" w:rsidR="004E7B56" w:rsidRDefault="009C5AB4">
      <w:pPr>
        <w:rPr>
          <w:szCs w:val="18"/>
        </w:rPr>
      </w:pPr>
      <w:r>
        <w:rPr>
          <w:b/>
          <w:sz w:val="28"/>
          <w:szCs w:val="28"/>
          <w:u w:val="single"/>
        </w:rPr>
        <w:lastRenderedPageBreak/>
        <w:t>Přílohy:</w:t>
      </w:r>
      <w:r>
        <w:rPr>
          <w:sz w:val="28"/>
          <w:szCs w:val="28"/>
          <w:u w:val="single"/>
        </w:rPr>
        <w:t xml:space="preserve"> </w:t>
      </w:r>
    </w:p>
    <w:p w14:paraId="21B087AC" w14:textId="77777777" w:rsidR="004E7B56" w:rsidRDefault="009C5AB4">
      <w:pPr>
        <w:spacing w:after="0"/>
        <w:rPr>
          <w:szCs w:val="18"/>
        </w:rPr>
      </w:pPr>
      <w:r>
        <w:rPr>
          <w:szCs w:val="18"/>
        </w:rPr>
        <w:t>Příloha A – Přehled právních předpisů, jejichž soulad s přezkoumávaným hospodařením auditor ověřil</w:t>
      </w:r>
    </w:p>
    <w:p w14:paraId="0C51A0E9" w14:textId="77777777" w:rsidR="004E7B56" w:rsidRDefault="009C5AB4">
      <w:pPr>
        <w:spacing w:after="0"/>
        <w:rPr>
          <w:szCs w:val="18"/>
        </w:rPr>
      </w:pPr>
      <w:r>
        <w:rPr>
          <w:szCs w:val="18"/>
        </w:rPr>
        <w:t>Příloha B – Detailní popis zjištěných chyb a nedostatků podle § 10 odst. 3 písm. b) a c) zákona č. 420/2004 Sb. a označení dokladů a jiných materiálů, ze kterých jednotlivá zjištění vycházejí</w:t>
      </w:r>
    </w:p>
    <w:p w14:paraId="3296D2CD" w14:textId="77777777" w:rsidR="004E7B56" w:rsidRDefault="009C5AB4">
      <w:pPr>
        <w:spacing w:after="0"/>
        <w:rPr>
          <w:szCs w:val="18"/>
        </w:rPr>
      </w:pPr>
      <w:r>
        <w:rPr>
          <w:szCs w:val="18"/>
        </w:rPr>
        <w:t>Příloha C – Stanovisko Hlavního orgánu Hlavního města Prahy, městské části Praha - Vinoř dle požadavku ustanovení § 7 písm. c) zákona č. 420/2004 Sb.</w:t>
      </w:r>
    </w:p>
    <w:p w14:paraId="5F21D93D" w14:textId="77777777" w:rsidR="004E7B56" w:rsidRDefault="009C5AB4">
      <w:pPr>
        <w:spacing w:after="0"/>
        <w:rPr>
          <w:lang w:eastAsia="cs-CZ"/>
        </w:rPr>
      </w:pPr>
      <w:r>
        <w:rPr>
          <w:szCs w:val="18"/>
        </w:rPr>
        <w:t>Příloha D – Označení všech dokladů a jiných materiálů využitých při přezkoumání hospodaření</w:t>
      </w:r>
    </w:p>
    <w:p w14:paraId="3097E00A" w14:textId="77777777" w:rsidR="004E7B56" w:rsidRDefault="009C5AB4">
      <w:pPr>
        <w:pStyle w:val="Nadpis1"/>
        <w:pageBreakBefore/>
        <w:numPr>
          <w:ilvl w:val="0"/>
          <w:numId w:val="0"/>
        </w:numPr>
      </w:pPr>
      <w:r>
        <w:rPr>
          <w:lang w:val="cs-CZ" w:eastAsia="cs-CZ"/>
        </w:rPr>
        <w:lastRenderedPageBreak/>
        <w:t>Příloha A</w:t>
      </w:r>
    </w:p>
    <w:p w14:paraId="4D7AA22B" w14:textId="77777777" w:rsidR="004E7B56" w:rsidRDefault="009C5AB4">
      <w:r>
        <w:t>P</w:t>
      </w:r>
      <w:r>
        <w:rPr>
          <w:rFonts w:cs="Calibri"/>
        </w:rPr>
        <w:t>ř</w:t>
      </w:r>
      <w:r>
        <w:t>ehled právních p</w:t>
      </w:r>
      <w:r>
        <w:rPr>
          <w:rFonts w:cs="Calibri"/>
        </w:rPr>
        <w:t>ř</w:t>
      </w:r>
      <w:r>
        <w:t>edpis</w:t>
      </w:r>
      <w:r>
        <w:rPr>
          <w:rFonts w:cs="Calibri"/>
        </w:rPr>
        <w:t>ů</w:t>
      </w:r>
      <w:r>
        <w:t>, jejichž soulad s p</w:t>
      </w:r>
      <w:r>
        <w:rPr>
          <w:rFonts w:cs="Calibri"/>
        </w:rPr>
        <w:t>ř</w:t>
      </w:r>
      <w:r>
        <w:t>ezkoumávaným hospoda</w:t>
      </w:r>
      <w:r>
        <w:rPr>
          <w:rFonts w:cs="Calibri"/>
        </w:rPr>
        <w:t>ř</w:t>
      </w:r>
      <w:r>
        <w:t>ením auditor ověřil:</w:t>
      </w:r>
    </w:p>
    <w:p w14:paraId="74AC30D9" w14:textId="77777777" w:rsidR="004E7B56" w:rsidRDefault="009C5AB4">
      <w:pPr>
        <w:numPr>
          <w:ilvl w:val="0"/>
          <w:numId w:val="22"/>
        </w:numPr>
        <w:tabs>
          <w:tab w:val="left" w:pos="360"/>
        </w:tabs>
        <w:spacing w:after="0" w:line="240" w:lineRule="auto"/>
        <w:ind w:left="360"/>
      </w:pPr>
      <w:r>
        <w:t>zákonem č. 420/2004 Sb., o přezkoumávání hospodaření územních samosprávných celků a dobrovolných svazků obcí, ve znění pozdějších předpisů;</w:t>
      </w:r>
    </w:p>
    <w:p w14:paraId="0CDADDE3" w14:textId="77777777" w:rsidR="004E7B56" w:rsidRDefault="009C5AB4">
      <w:pPr>
        <w:numPr>
          <w:ilvl w:val="0"/>
          <w:numId w:val="22"/>
        </w:numPr>
        <w:tabs>
          <w:tab w:val="left" w:pos="360"/>
          <w:tab w:val="left" w:pos="1353"/>
        </w:tabs>
        <w:spacing w:after="0" w:line="240" w:lineRule="auto"/>
        <w:ind w:left="360"/>
      </w:pPr>
      <w:r>
        <w:t xml:space="preserve">vyhláškou č. 5/2014 Sb., o způsobu, termínech a rozsahu údajů předkládaných pro hodnocení plnění státního rozpočtu, rozpočtů státních fondů, rozpočtů územních samosprávných celků, rozpočtů dobrovolných svazků obcí a rozpočtů Regionálních rad regionů soudržnosti, ve znění pozdějších předpisů; </w:t>
      </w:r>
    </w:p>
    <w:p w14:paraId="437EF40E" w14:textId="77777777" w:rsidR="004E7B56" w:rsidRDefault="009C5AB4">
      <w:pPr>
        <w:numPr>
          <w:ilvl w:val="0"/>
          <w:numId w:val="22"/>
        </w:numPr>
        <w:tabs>
          <w:tab w:val="left" w:pos="360"/>
          <w:tab w:val="left" w:pos="1353"/>
        </w:tabs>
        <w:spacing w:after="0" w:line="240" w:lineRule="auto"/>
        <w:ind w:left="360"/>
      </w:pPr>
      <w:r>
        <w:t>zákonem č. 23/2017 Sb., o pravidlech rozpočtové odpovědnosti;</w:t>
      </w:r>
    </w:p>
    <w:p w14:paraId="78658577" w14:textId="77777777" w:rsidR="004E7B56" w:rsidRDefault="009C5AB4">
      <w:pPr>
        <w:numPr>
          <w:ilvl w:val="0"/>
          <w:numId w:val="22"/>
        </w:numPr>
        <w:tabs>
          <w:tab w:val="left" w:pos="360"/>
          <w:tab w:val="left" w:pos="1353"/>
        </w:tabs>
        <w:spacing w:after="0" w:line="240" w:lineRule="auto"/>
        <w:ind w:left="360"/>
      </w:pPr>
      <w:r>
        <w:t>zákonem č. 89/2012 Sb., občanský zákoník;</w:t>
      </w:r>
    </w:p>
    <w:p w14:paraId="69BE11E6" w14:textId="77777777" w:rsidR="004E7B56" w:rsidRDefault="009C5AB4">
      <w:pPr>
        <w:numPr>
          <w:ilvl w:val="0"/>
          <w:numId w:val="22"/>
        </w:numPr>
        <w:tabs>
          <w:tab w:val="left" w:pos="360"/>
          <w:tab w:val="left" w:pos="1353"/>
        </w:tabs>
        <w:spacing w:after="0" w:line="240" w:lineRule="auto"/>
        <w:ind w:left="360"/>
      </w:pPr>
      <w:r>
        <w:t>zákonem č. 90/2012 Sb., o obchodních společnostech a družstvech (zákon o obchodních korporacích);</w:t>
      </w:r>
    </w:p>
    <w:p w14:paraId="3BC1A582" w14:textId="77777777" w:rsidR="004E7B56" w:rsidRDefault="009C5AB4">
      <w:pPr>
        <w:numPr>
          <w:ilvl w:val="0"/>
          <w:numId w:val="22"/>
        </w:numPr>
        <w:tabs>
          <w:tab w:val="left" w:pos="360"/>
          <w:tab w:val="left" w:pos="1353"/>
        </w:tabs>
        <w:spacing w:after="0" w:line="240" w:lineRule="auto"/>
        <w:ind w:left="360"/>
      </w:pPr>
      <w:r>
        <w:t>zákonem č. 262/2006 Sb., zákoník práce;</w:t>
      </w:r>
    </w:p>
    <w:p w14:paraId="0EF736DC" w14:textId="77777777" w:rsidR="004E7B56" w:rsidRDefault="009C5AB4">
      <w:pPr>
        <w:numPr>
          <w:ilvl w:val="0"/>
          <w:numId w:val="22"/>
        </w:numPr>
        <w:tabs>
          <w:tab w:val="left" w:pos="360"/>
        </w:tabs>
        <w:spacing w:after="0" w:line="240" w:lineRule="auto"/>
        <w:ind w:left="360"/>
      </w:pPr>
      <w:r>
        <w:t xml:space="preserve">zákonem č. 250/2000 Sb., o rozpočtových pravidlech územních rozpočtů, ve znění pozdějších předpisů, </w:t>
      </w:r>
      <w:bookmarkStart w:id="2" w:name="_Hlk2258132"/>
      <w:r>
        <w:t>a souvisejícími prováděcími právními předpisy:</w:t>
      </w:r>
      <w:bookmarkEnd w:id="2"/>
    </w:p>
    <w:p w14:paraId="3D00461A" w14:textId="77777777" w:rsidR="004E7B56" w:rsidRDefault="009C5AB4">
      <w:pPr>
        <w:numPr>
          <w:ilvl w:val="1"/>
          <w:numId w:val="22"/>
        </w:numPr>
        <w:spacing w:after="0" w:line="240" w:lineRule="auto"/>
        <w:ind w:left="709"/>
      </w:pPr>
      <w:r>
        <w:t>vyhláškou č. 323/2002 Sb., o rozpočtové skladbě, ve znění pozdějších předpisů;</w:t>
      </w:r>
    </w:p>
    <w:p w14:paraId="4E8E256B" w14:textId="77777777" w:rsidR="004E7B56" w:rsidRDefault="009C5AB4">
      <w:pPr>
        <w:numPr>
          <w:ilvl w:val="0"/>
          <w:numId w:val="22"/>
        </w:numPr>
        <w:tabs>
          <w:tab w:val="left" w:pos="360"/>
        </w:tabs>
        <w:spacing w:after="0" w:line="240" w:lineRule="auto"/>
        <w:ind w:left="360"/>
      </w:pPr>
      <w:r>
        <w:t>zákonem č. 563/1991 Sb., o účetnictví, ve znění pozdějších předpisů, a souvisejícími prováděcími právními přepisy:</w:t>
      </w:r>
    </w:p>
    <w:p w14:paraId="3E3E48C5" w14:textId="77777777" w:rsidR="004E7B56" w:rsidRDefault="009C5AB4">
      <w:pPr>
        <w:numPr>
          <w:ilvl w:val="1"/>
          <w:numId w:val="22"/>
        </w:numPr>
        <w:spacing w:after="0" w:line="240" w:lineRule="auto"/>
        <w:ind w:left="709"/>
      </w:pPr>
      <w:r>
        <w:t>vyhláškou č. 410/2009 Sb., kterou se provádějí některá ustanovení zákona č. 563/1991 Sb., o účetnictví, ve znění pozdějších předpisů, pro některé vybrané účetní jednotky;</w:t>
      </w:r>
    </w:p>
    <w:p w14:paraId="767A91AB" w14:textId="77777777" w:rsidR="004E7B56" w:rsidRDefault="009C5AB4">
      <w:pPr>
        <w:numPr>
          <w:ilvl w:val="1"/>
          <w:numId w:val="22"/>
        </w:numPr>
        <w:spacing w:after="0" w:line="240" w:lineRule="auto"/>
        <w:ind w:left="709"/>
      </w:pPr>
      <w:r>
        <w:t>vyhláškou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14:paraId="573340BC" w14:textId="77777777" w:rsidR="004E7B56" w:rsidRDefault="009C5AB4">
      <w:pPr>
        <w:numPr>
          <w:ilvl w:val="1"/>
          <w:numId w:val="22"/>
        </w:numPr>
        <w:spacing w:after="0" w:line="240" w:lineRule="auto"/>
        <w:ind w:left="709"/>
      </w:pPr>
      <w:r>
        <w:t xml:space="preserve">vyhláškou č. 270/2010 Sb., o inventarizaci majetku a závazků; </w:t>
      </w:r>
    </w:p>
    <w:p w14:paraId="644750A0" w14:textId="77777777" w:rsidR="004E7B56" w:rsidRDefault="009C5AB4">
      <w:pPr>
        <w:numPr>
          <w:ilvl w:val="1"/>
          <w:numId w:val="22"/>
        </w:numPr>
        <w:spacing w:after="0" w:line="240" w:lineRule="auto"/>
        <w:ind w:left="709"/>
      </w:pPr>
      <w:r>
        <w:t>vyhláškou č. 220/2013 Sb., o požadavcích na schvalování účetních závěrek některých vybraných účetních jednotek;</w:t>
      </w:r>
    </w:p>
    <w:p w14:paraId="1EECEC49" w14:textId="77777777" w:rsidR="004E7B56" w:rsidRDefault="009C5AB4">
      <w:pPr>
        <w:numPr>
          <w:ilvl w:val="1"/>
          <w:numId w:val="22"/>
        </w:numPr>
        <w:spacing w:after="0" w:line="240" w:lineRule="auto"/>
        <w:ind w:left="709"/>
      </w:pPr>
      <w:r>
        <w:t>českými účetními standardy pro některé vybrané účetní jednotky, které vedou účetnictví podle vyhlášky č. 410/2009 Sb.;</w:t>
      </w:r>
    </w:p>
    <w:p w14:paraId="02315E0D" w14:textId="77777777" w:rsidR="004E7B56" w:rsidRDefault="009C5AB4">
      <w:pPr>
        <w:numPr>
          <w:ilvl w:val="0"/>
          <w:numId w:val="22"/>
        </w:numPr>
        <w:tabs>
          <w:tab w:val="left" w:pos="360"/>
        </w:tabs>
        <w:spacing w:after="0" w:line="240" w:lineRule="auto"/>
        <w:ind w:left="360"/>
      </w:pPr>
      <w:r>
        <w:t xml:space="preserve">zákonem č. 128/2000 Sb., o obcích, ve znění pozdějších předpisů, nebo zákonem č. 131/2000 Sb., o hlavním městě Praze; </w:t>
      </w:r>
    </w:p>
    <w:p w14:paraId="3AF1CEAC" w14:textId="77777777" w:rsidR="004E7B56" w:rsidRDefault="009C5AB4">
      <w:pPr>
        <w:numPr>
          <w:ilvl w:val="0"/>
          <w:numId w:val="22"/>
        </w:numPr>
        <w:tabs>
          <w:tab w:val="left" w:pos="360"/>
        </w:tabs>
        <w:spacing w:after="0" w:line="240" w:lineRule="auto"/>
        <w:ind w:left="360"/>
      </w:pPr>
      <w:r>
        <w:t>zákonem č. 134/2016 Sb., o zadávání veřejných zakázek, ve znění pozdějších předpisů;</w:t>
      </w:r>
    </w:p>
    <w:p w14:paraId="69926DEE" w14:textId="77777777" w:rsidR="004E7B56" w:rsidRDefault="009C5AB4">
      <w:pPr>
        <w:numPr>
          <w:ilvl w:val="0"/>
          <w:numId w:val="22"/>
        </w:numPr>
        <w:tabs>
          <w:tab w:val="left" w:pos="360"/>
        </w:tabs>
        <w:spacing w:after="0" w:line="240" w:lineRule="auto"/>
        <w:ind w:left="360"/>
      </w:pPr>
      <w:r>
        <w:t>zákonem č. 243/2000 Sb., o rozpočtovém určení výnosů některých daní územních samosprávným celkům a některým státním fondům (zákon o rozpočtovém určení daní), ve znění pozdějších přepisů;</w:t>
      </w:r>
    </w:p>
    <w:p w14:paraId="31904550" w14:textId="77777777" w:rsidR="004E7B56" w:rsidRDefault="009C5AB4">
      <w:pPr>
        <w:numPr>
          <w:ilvl w:val="0"/>
          <w:numId w:val="22"/>
        </w:numPr>
        <w:tabs>
          <w:tab w:val="left" w:pos="360"/>
        </w:tabs>
        <w:spacing w:after="0" w:line="240" w:lineRule="auto"/>
        <w:ind w:left="360"/>
      </w:pPr>
      <w:r>
        <w:t>zákonem č. 248/2000 Sb., o podpoře regionálního rozvoje;</w:t>
      </w:r>
    </w:p>
    <w:p w14:paraId="06BFDF97" w14:textId="77777777" w:rsidR="004E7B56" w:rsidRDefault="009C5AB4">
      <w:pPr>
        <w:numPr>
          <w:ilvl w:val="0"/>
          <w:numId w:val="22"/>
        </w:numPr>
        <w:tabs>
          <w:tab w:val="left" w:pos="360"/>
        </w:tabs>
        <w:spacing w:after="0" w:line="240" w:lineRule="auto"/>
        <w:ind w:left="360"/>
      </w:pPr>
      <w:r>
        <w:t>zákonem č. 320/2001 Sb., o finanční kontrole ve veřejné správě a o změně některých zákonů;</w:t>
      </w:r>
    </w:p>
    <w:p w14:paraId="09F148F3" w14:textId="77777777" w:rsidR="004E7B56" w:rsidRDefault="009C5AB4">
      <w:pPr>
        <w:numPr>
          <w:ilvl w:val="0"/>
          <w:numId w:val="22"/>
        </w:numPr>
        <w:tabs>
          <w:tab w:val="left" w:pos="360"/>
        </w:tabs>
        <w:spacing w:after="0" w:line="240" w:lineRule="auto"/>
        <w:ind w:left="360"/>
      </w:pPr>
      <w:r>
        <w:t>zákonem č. 340/2015 Sb., o zvláštních podmínkách účinnosti některých smluv, uveřejňování těchto smluv a o registru smluv (zákon o registru smluv);</w:t>
      </w:r>
    </w:p>
    <w:p w14:paraId="08884263" w14:textId="77777777" w:rsidR="004E7B56" w:rsidRDefault="009C5AB4">
      <w:pPr>
        <w:numPr>
          <w:ilvl w:val="0"/>
          <w:numId w:val="22"/>
        </w:numPr>
        <w:tabs>
          <w:tab w:val="left" w:pos="360"/>
        </w:tabs>
        <w:spacing w:after="0" w:line="240" w:lineRule="auto"/>
        <w:ind w:left="360"/>
      </w:pPr>
      <w:r>
        <w:t>nařízením vlády č. 564/2006 Sb., o platových poměrech zaměstnanců ve veřejných službách a správě, ve znění pozdějších předpisů, provádějící některá ustanovení zákona č. 262/ 2006 Sb., zákoník práce, ve znění pozdějších předpisů;</w:t>
      </w:r>
    </w:p>
    <w:p w14:paraId="6E67749A" w14:textId="77777777" w:rsidR="004E7B56" w:rsidRDefault="009C5AB4">
      <w:pPr>
        <w:numPr>
          <w:ilvl w:val="0"/>
          <w:numId w:val="22"/>
        </w:numPr>
        <w:tabs>
          <w:tab w:val="left" w:pos="360"/>
        </w:tabs>
        <w:spacing w:after="0" w:line="240" w:lineRule="auto"/>
        <w:ind w:left="360"/>
        <w:rPr>
          <w:lang w:eastAsia="cs-CZ"/>
        </w:rPr>
      </w:pPr>
      <w:r>
        <w:t>nařízením vlády č. 37/2003 Sb., o odměnách za výkon funkce členům zastupitelstev.</w:t>
      </w:r>
    </w:p>
    <w:p w14:paraId="11F13155" w14:textId="77777777" w:rsidR="004E7B56" w:rsidRDefault="004E7B56">
      <w:pPr>
        <w:pStyle w:val="Nadpis1"/>
        <w:numPr>
          <w:ilvl w:val="0"/>
          <w:numId w:val="0"/>
        </w:numPr>
        <w:rPr>
          <w:lang w:eastAsia="cs-CZ"/>
        </w:rPr>
      </w:pPr>
    </w:p>
    <w:p w14:paraId="6CFE473E" w14:textId="77777777" w:rsidR="004E7B56" w:rsidRDefault="004E7B56">
      <w:pPr>
        <w:pStyle w:val="Nadpis1"/>
        <w:numPr>
          <w:ilvl w:val="0"/>
          <w:numId w:val="0"/>
        </w:numPr>
        <w:rPr>
          <w:lang w:eastAsia="cs-CZ"/>
        </w:rPr>
      </w:pPr>
    </w:p>
    <w:p w14:paraId="72000CA8" w14:textId="77777777" w:rsidR="004E7B56" w:rsidRDefault="004E7B56">
      <w:pPr>
        <w:pStyle w:val="Nadpis1"/>
        <w:numPr>
          <w:ilvl w:val="0"/>
          <w:numId w:val="0"/>
        </w:numPr>
        <w:rPr>
          <w:lang w:eastAsia="cs-CZ"/>
        </w:rPr>
      </w:pPr>
    </w:p>
    <w:p w14:paraId="06F2820B" w14:textId="77777777" w:rsidR="004E7B56" w:rsidRDefault="004E7B56">
      <w:pPr>
        <w:pStyle w:val="Nadpis1"/>
        <w:numPr>
          <w:ilvl w:val="0"/>
          <w:numId w:val="0"/>
        </w:numPr>
        <w:rPr>
          <w:lang w:eastAsia="cs-CZ"/>
        </w:rPr>
      </w:pPr>
    </w:p>
    <w:p w14:paraId="2073A0F6" w14:textId="77777777" w:rsidR="004E7B56" w:rsidRDefault="004E7B56">
      <w:pPr>
        <w:rPr>
          <w:lang w:val="x-none" w:eastAsia="cs-CZ"/>
        </w:rPr>
      </w:pPr>
    </w:p>
    <w:p w14:paraId="0EF2C35B" w14:textId="77777777" w:rsidR="004E7B56" w:rsidRDefault="004E7B56">
      <w:pPr>
        <w:rPr>
          <w:lang w:val="x-none" w:eastAsia="cs-CZ"/>
        </w:rPr>
      </w:pPr>
    </w:p>
    <w:p w14:paraId="123D2033" w14:textId="77777777" w:rsidR="004E7B56" w:rsidRDefault="004E7B56">
      <w:pPr>
        <w:rPr>
          <w:lang w:val="x-none" w:eastAsia="cs-CZ"/>
        </w:rPr>
      </w:pPr>
    </w:p>
    <w:p w14:paraId="4E090976" w14:textId="77777777" w:rsidR="004E7B56" w:rsidRDefault="004E7B56">
      <w:pPr>
        <w:rPr>
          <w:lang w:val="x-none" w:eastAsia="cs-CZ"/>
        </w:rPr>
      </w:pPr>
    </w:p>
    <w:p w14:paraId="4BBCD1E7" w14:textId="77777777" w:rsidR="004E7B56" w:rsidRDefault="004E7B56">
      <w:pPr>
        <w:rPr>
          <w:lang w:val="x-none" w:eastAsia="cs-CZ"/>
        </w:rPr>
      </w:pPr>
    </w:p>
    <w:p w14:paraId="25CD632F" w14:textId="77777777" w:rsidR="004E7B56" w:rsidRDefault="004E7B56">
      <w:pPr>
        <w:rPr>
          <w:lang w:val="x-none" w:eastAsia="cs-CZ"/>
        </w:rPr>
      </w:pPr>
    </w:p>
    <w:p w14:paraId="5362DADD" w14:textId="77777777" w:rsidR="004E7B56" w:rsidRDefault="009C5AB4">
      <w:pPr>
        <w:pStyle w:val="Nadpis1"/>
        <w:numPr>
          <w:ilvl w:val="0"/>
          <w:numId w:val="0"/>
        </w:numPr>
        <w:rPr>
          <w:szCs w:val="18"/>
        </w:rPr>
      </w:pPr>
      <w:r>
        <w:rPr>
          <w:lang w:val="cs-CZ" w:eastAsia="cs-CZ"/>
        </w:rPr>
        <w:lastRenderedPageBreak/>
        <w:t xml:space="preserve">Příloha B </w:t>
      </w:r>
    </w:p>
    <w:p w14:paraId="1273337E" w14:textId="77777777" w:rsidR="004E7B56" w:rsidRDefault="009C5AB4">
      <w:pPr>
        <w:spacing w:after="0"/>
        <w:rPr>
          <w:szCs w:val="18"/>
          <w:lang w:eastAsia="cs-CZ"/>
        </w:rPr>
      </w:pPr>
      <w:r>
        <w:rPr>
          <w:szCs w:val="18"/>
        </w:rPr>
        <w:t>Detailní popis zjištěných chyb a nedostatků podle § 10 odst. 3 písm. b) a c) zákona č. 420/2004 Sb. a označení dokladů a jiných materiálů, ze kterých jednotlivá zjištění vycházejí.</w:t>
      </w:r>
    </w:p>
    <w:p w14:paraId="688B2F21" w14:textId="77777777" w:rsidR="004E7B56" w:rsidRDefault="004E7B56">
      <w:pPr>
        <w:rPr>
          <w:szCs w:val="18"/>
          <w:lang w:eastAsia="cs-CZ"/>
        </w:rPr>
      </w:pPr>
    </w:p>
    <w:p w14:paraId="7FF93791" w14:textId="7E13D637" w:rsidR="004E7B56" w:rsidRDefault="009C5AB4">
      <w:pPr>
        <w:pStyle w:val="Zkladntextodsazen"/>
        <w:spacing w:line="276" w:lineRule="auto"/>
        <w:ind w:firstLine="0"/>
        <w:rPr>
          <w:rFonts w:cs="Calibri"/>
          <w:color w:val="000000"/>
          <w:szCs w:val="18"/>
        </w:rPr>
      </w:pPr>
      <w:r>
        <w:rPr>
          <w:rFonts w:cs="Calibri"/>
          <w:color w:val="000000"/>
          <w:szCs w:val="18"/>
        </w:rPr>
        <w:t>Při přezkoumání hospodaření Městské části Praha – Vinoř za rok 202</w:t>
      </w:r>
      <w:r w:rsidR="0081336A">
        <w:rPr>
          <w:rFonts w:cs="Calibri"/>
          <w:color w:val="000000"/>
          <w:szCs w:val="18"/>
        </w:rPr>
        <w:t>4</w:t>
      </w:r>
      <w:r>
        <w:rPr>
          <w:rFonts w:cs="Calibri"/>
          <w:color w:val="000000"/>
          <w:szCs w:val="18"/>
        </w:rPr>
        <w:t xml:space="preserve"> </w:t>
      </w:r>
      <w:r>
        <w:rPr>
          <w:rFonts w:cs="Calibri"/>
          <w:color w:val="000000"/>
          <w:szCs w:val="18"/>
          <w:lang w:val="cs-CZ"/>
        </w:rPr>
        <w:t>byly</w:t>
      </w:r>
      <w:r>
        <w:rPr>
          <w:rFonts w:cs="Calibri"/>
          <w:color w:val="000000"/>
          <w:szCs w:val="18"/>
        </w:rPr>
        <w:t xml:space="preserve"> zjištěny chyby a nedostatky</w:t>
      </w:r>
      <w:r>
        <w:rPr>
          <w:rFonts w:cs="Calibri"/>
          <w:color w:val="000000"/>
          <w:szCs w:val="18"/>
          <w:lang w:val="cs-CZ"/>
        </w:rPr>
        <w:t xml:space="preserve"> podle </w:t>
      </w:r>
      <w:r>
        <w:rPr>
          <w:rFonts w:cs="Calibri"/>
          <w:color w:val="000000"/>
          <w:szCs w:val="18"/>
        </w:rPr>
        <w:t>§ 10 odst. 3 písm.</w:t>
      </w:r>
      <w:r w:rsidR="00953CBE">
        <w:rPr>
          <w:rFonts w:cs="Calibri"/>
          <w:color w:val="000000"/>
          <w:szCs w:val="18"/>
        </w:rPr>
        <w:t> </w:t>
      </w:r>
      <w:r>
        <w:rPr>
          <w:rFonts w:cs="Calibri"/>
          <w:color w:val="000000"/>
          <w:szCs w:val="18"/>
        </w:rPr>
        <w:t>c) zákona č. 420/2004 Sb.</w:t>
      </w:r>
    </w:p>
    <w:p w14:paraId="7784DC49" w14:textId="77777777" w:rsidR="004F72DE" w:rsidRDefault="004F72DE">
      <w:pPr>
        <w:pStyle w:val="Zkladntextodsazen"/>
        <w:spacing w:line="276" w:lineRule="auto"/>
        <w:ind w:firstLine="0"/>
        <w:rPr>
          <w:rFonts w:cs="Calibri"/>
          <w:color w:val="000000"/>
          <w:szCs w:val="18"/>
        </w:rPr>
      </w:pPr>
    </w:p>
    <w:p w14:paraId="1DB533E7" w14:textId="77777777" w:rsidR="004E7B56" w:rsidRDefault="004E7B56">
      <w:pPr>
        <w:pStyle w:val="Standard"/>
        <w:jc w:val="both"/>
        <w:rPr>
          <w:rFonts w:ascii="Calibri" w:hAnsi="Calibri" w:cs="Calibri"/>
          <w:bCs/>
          <w:sz w:val="18"/>
          <w:szCs w:val="18"/>
        </w:rPr>
      </w:pPr>
    </w:p>
    <w:p w14:paraId="7989D1CA" w14:textId="77777777" w:rsidR="00A64C12" w:rsidRDefault="00A64C12" w:rsidP="00A64C12">
      <w:bookmarkStart w:id="3" w:name="_Hlk193975839"/>
      <w:r>
        <w:t>Inventarizace majetku a závazků k 31.12.2024 byly provedeny na základě příkazu starosty č.5/2024 ze dne 21.10. 2024, který byl dne 2.12.2024. doplněn dodatkem č.1.</w:t>
      </w:r>
    </w:p>
    <w:p w14:paraId="37423AFA" w14:textId="58CA2908" w:rsidR="00A64C12" w:rsidRDefault="00A64C12" w:rsidP="00A64C12">
      <w:r>
        <w:t xml:space="preserve">V rámci inventarizace rozvahových účtů nebyly doloženy položkovými inventarizačními soupisy inventarizace některých rozvahových účtů </w:t>
      </w:r>
      <w:r w:rsidR="00EB4054">
        <w:t>314A – krátkodobé</w:t>
      </w:r>
      <w:r>
        <w:t xml:space="preserve"> poskytnuté zálohy. Z tohoto syntetického účtu byla doložena inventarizace pouze účtu 3140300 se zjištěným stavem </w:t>
      </w:r>
      <w:r w:rsidR="00EB4054">
        <w:t>234.388, -</w:t>
      </w:r>
      <w:r>
        <w:t xml:space="preserve"> Kč, která nesouhlasí na stav tohoto účtu dle obratové předvahy, který činí </w:t>
      </w:r>
      <w:r w:rsidRPr="00090029">
        <w:t>15 353,</w:t>
      </w:r>
      <w:r w:rsidR="00814B95" w:rsidRPr="00090029">
        <w:t xml:space="preserve">00 </w:t>
      </w:r>
      <w:r w:rsidR="00814B95">
        <w:t>Kč</w:t>
      </w:r>
      <w:r>
        <w:t xml:space="preserve">. Dále byla doložena hromadná inventarizace účtu 314 bez analytického členění ve vedlejší hospodářské činnosti se zůstatkem </w:t>
      </w:r>
      <w:r w:rsidR="00EB4054">
        <w:t>1.214.026, -</w:t>
      </w:r>
      <w:r>
        <w:t xml:space="preserve"> Kč</w:t>
      </w:r>
      <w:r w:rsidR="00D9578F">
        <w:t>. A</w:t>
      </w:r>
      <w:r>
        <w:t>nalytické zůstatky rozvahových účtů obratové předvahy nebylo tak možno odsouhlasit na inventarizační soupisy</w:t>
      </w:r>
      <w:r w:rsidRPr="00090029">
        <w:t xml:space="preserve"> </w:t>
      </w:r>
      <w:r>
        <w:t>u těchto analytických účtů s následujícími zůstatky dle obratové předvahy:</w:t>
      </w:r>
    </w:p>
    <w:p w14:paraId="02DD67C2" w14:textId="77777777" w:rsidR="00A64C12" w:rsidRPr="00090029" w:rsidRDefault="00A64C12" w:rsidP="00A64C12">
      <w:r w:rsidRPr="00090029">
        <w:t>314 0000  -7 292 746,15</w:t>
      </w:r>
    </w:p>
    <w:p w14:paraId="02E23647" w14:textId="77777777" w:rsidR="00A64C12" w:rsidRPr="00090029" w:rsidRDefault="00A64C12" w:rsidP="00A64C12">
      <w:r w:rsidRPr="00090029">
        <w:t>314 0001 úklid domů  2 399 354,11</w:t>
      </w:r>
    </w:p>
    <w:p w14:paraId="3B48E922" w14:textId="77777777" w:rsidR="00A64C12" w:rsidRPr="00090029" w:rsidRDefault="00A64C12" w:rsidP="00A64C12">
      <w:r w:rsidRPr="00090029">
        <w:t>314 0002  -275 849,53</w:t>
      </w:r>
    </w:p>
    <w:p w14:paraId="772495AF" w14:textId="77777777" w:rsidR="00A64C12" w:rsidRPr="00090029" w:rsidRDefault="00A64C12" w:rsidP="00A64C12">
      <w:r w:rsidRPr="00090029">
        <w:t>314 0004  1 203 422,00</w:t>
      </w:r>
    </w:p>
    <w:p w14:paraId="518F590D" w14:textId="77777777" w:rsidR="00A64C12" w:rsidRPr="00090029" w:rsidRDefault="00A64C12" w:rsidP="00A64C12">
      <w:r w:rsidRPr="00090029">
        <w:t>314 0005  1 010 390,00</w:t>
      </w:r>
    </w:p>
    <w:p w14:paraId="035838F1" w14:textId="77777777" w:rsidR="00A64C12" w:rsidRPr="00090029" w:rsidRDefault="00A64C12" w:rsidP="00A64C12">
      <w:r w:rsidRPr="00090029">
        <w:t xml:space="preserve">314 0011 </w:t>
      </w:r>
      <w:r>
        <w:t xml:space="preserve"> </w:t>
      </w:r>
      <w:r w:rsidRPr="00090029">
        <w:t>1 484 441,00</w:t>
      </w:r>
    </w:p>
    <w:p w14:paraId="6A8D3AA2" w14:textId="77777777" w:rsidR="00A64C12" w:rsidRPr="00090029" w:rsidRDefault="00A64C12" w:rsidP="00A64C12">
      <w:r w:rsidRPr="00090029">
        <w:t>314 0012  1 418 710,00</w:t>
      </w:r>
    </w:p>
    <w:p w14:paraId="470F44D3" w14:textId="77777777" w:rsidR="00A64C12" w:rsidRPr="00090029" w:rsidRDefault="00A64C12" w:rsidP="00A64C12">
      <w:r w:rsidRPr="00090029">
        <w:t xml:space="preserve">314 0013 </w:t>
      </w:r>
      <w:r>
        <w:t xml:space="preserve"> </w:t>
      </w:r>
      <w:r w:rsidRPr="00090029">
        <w:t>1 462 539,57</w:t>
      </w:r>
    </w:p>
    <w:p w14:paraId="2FD022AD" w14:textId="77777777" w:rsidR="00A64C12" w:rsidRDefault="00A64C12" w:rsidP="00A64C12">
      <w:r w:rsidRPr="00090029">
        <w:t xml:space="preserve">314 0014  22 800,00 </w:t>
      </w:r>
    </w:p>
    <w:p w14:paraId="5ECF2063" w14:textId="77777777" w:rsidR="00A64C12" w:rsidRDefault="00A64C12" w:rsidP="00A64C12">
      <w:r>
        <w:t xml:space="preserve">Z výše uvedeného vyplývá, že na analytickém aktivním účtu 314 0000 je veden záporný zůstatek ve výši </w:t>
      </w:r>
      <w:r w:rsidRPr="00090029">
        <w:t>-7 292 746,15</w:t>
      </w:r>
      <w:r>
        <w:t xml:space="preserve"> Kč. </w:t>
      </w:r>
    </w:p>
    <w:p w14:paraId="4B1A5220" w14:textId="2D96C42C" w:rsidR="00A64C12" w:rsidRPr="00A64C12" w:rsidRDefault="00A64C12" w:rsidP="00A64C12">
      <w:pPr>
        <w:rPr>
          <w:rFonts w:asciiTheme="minorHAnsi" w:hAnsiTheme="minorHAnsi" w:cstheme="minorHAnsi"/>
        </w:rPr>
      </w:pPr>
      <w:r>
        <w:t>Dále při kontrole inventarizací účtu 321</w:t>
      </w:r>
      <w:r w:rsidR="00D9578F">
        <w:t xml:space="preserve"> </w:t>
      </w:r>
      <w:r>
        <w:t>-</w:t>
      </w:r>
      <w:r w:rsidR="00D9578F">
        <w:t xml:space="preserve"> </w:t>
      </w:r>
      <w:r>
        <w:t xml:space="preserve">dodavatelé bylo zjištěno, že mimo inventarizačního soupisu celkových syntetických zůstatků těchto účtů na hlavní a vedlejší hospodářské činnosti nejsou položkové inventarizace analytických účtů obratové </w:t>
      </w:r>
      <w:r w:rsidRPr="00A64C12">
        <w:rPr>
          <w:rFonts w:asciiTheme="minorHAnsi" w:hAnsiTheme="minorHAnsi" w:cstheme="minorHAnsi"/>
        </w:rPr>
        <w:t>předvahy doloženy položkovými rozpisy stavy analytických účtů a stav na analytické evidenci 0000 pasivního účtu 321 činí kladný zůstatek ve výši 2 095 087,62 Kč.</w:t>
      </w:r>
    </w:p>
    <w:p w14:paraId="4B94E19C" w14:textId="06212FC6" w:rsidR="004E7B56" w:rsidRPr="00A64C12" w:rsidRDefault="00A64C12" w:rsidP="00A64C12">
      <w:pPr>
        <w:pStyle w:val="Standard"/>
        <w:jc w:val="both"/>
        <w:rPr>
          <w:rFonts w:asciiTheme="minorHAnsi" w:hAnsiTheme="minorHAnsi" w:cstheme="minorHAnsi"/>
          <w:sz w:val="18"/>
          <w:szCs w:val="18"/>
        </w:rPr>
      </w:pPr>
      <w:r w:rsidRPr="00A64C12">
        <w:rPr>
          <w:rFonts w:asciiTheme="minorHAnsi" w:hAnsiTheme="minorHAnsi" w:cstheme="minorHAnsi"/>
          <w:sz w:val="18"/>
          <w:szCs w:val="18"/>
        </w:rPr>
        <w:t>Ostatní inventarizace rozvahových účtů byly doloženy položkovými inventarizačními soupisy, při kontrole na účetní sestavy-obratovou předvahu k 31.12.2024 nebyly zjištěny rozdíly</w:t>
      </w:r>
      <w:r w:rsidR="004F72DE">
        <w:rPr>
          <w:rFonts w:asciiTheme="minorHAnsi" w:hAnsiTheme="minorHAnsi" w:cstheme="minorHAnsi"/>
          <w:sz w:val="18"/>
          <w:szCs w:val="18"/>
        </w:rPr>
        <w:t>.</w:t>
      </w:r>
    </w:p>
    <w:bookmarkEnd w:id="3"/>
    <w:p w14:paraId="299FFC75" w14:textId="77777777" w:rsidR="004E7B56" w:rsidRDefault="004E7B56">
      <w:pPr>
        <w:pStyle w:val="Standard"/>
        <w:jc w:val="both"/>
        <w:rPr>
          <w:rFonts w:ascii="Calibri" w:hAnsi="Calibri" w:cs="Calibri"/>
          <w:sz w:val="18"/>
          <w:szCs w:val="18"/>
        </w:rPr>
      </w:pPr>
    </w:p>
    <w:p w14:paraId="79A4E5B9" w14:textId="77777777" w:rsidR="004E7B56" w:rsidRDefault="004E7B56">
      <w:pPr>
        <w:pStyle w:val="Standard"/>
        <w:jc w:val="both"/>
        <w:rPr>
          <w:rFonts w:ascii="Calibri" w:hAnsi="Calibri" w:cs="Calibri"/>
          <w:sz w:val="18"/>
          <w:szCs w:val="18"/>
        </w:rPr>
      </w:pPr>
    </w:p>
    <w:p w14:paraId="460DE683" w14:textId="77777777" w:rsidR="004E7B56" w:rsidRDefault="004E7B56">
      <w:pPr>
        <w:pStyle w:val="Standard"/>
        <w:jc w:val="both"/>
        <w:rPr>
          <w:rFonts w:ascii="Calibri" w:hAnsi="Calibri" w:cs="Calibri"/>
          <w:sz w:val="18"/>
          <w:szCs w:val="18"/>
        </w:rPr>
      </w:pPr>
    </w:p>
    <w:p w14:paraId="1E51169E" w14:textId="77777777" w:rsidR="004E7B56" w:rsidRDefault="004E7B56">
      <w:pPr>
        <w:pStyle w:val="Standard"/>
        <w:jc w:val="both"/>
        <w:rPr>
          <w:rFonts w:ascii="Calibri" w:hAnsi="Calibri" w:cs="Calibri"/>
          <w:sz w:val="18"/>
          <w:szCs w:val="18"/>
        </w:rPr>
      </w:pPr>
    </w:p>
    <w:p w14:paraId="27DD7BE0" w14:textId="77777777" w:rsidR="004E7B56" w:rsidRDefault="004E7B56">
      <w:pPr>
        <w:pStyle w:val="Standard"/>
        <w:jc w:val="both"/>
        <w:rPr>
          <w:rFonts w:ascii="Calibri" w:hAnsi="Calibri" w:cs="Calibri"/>
          <w:sz w:val="18"/>
          <w:szCs w:val="18"/>
        </w:rPr>
      </w:pPr>
    </w:p>
    <w:p w14:paraId="76E5F6FF" w14:textId="77777777" w:rsidR="004E7B56" w:rsidRDefault="004E7B56">
      <w:pPr>
        <w:pStyle w:val="Standard"/>
        <w:jc w:val="both"/>
        <w:rPr>
          <w:rFonts w:ascii="Calibri" w:hAnsi="Calibri" w:cs="Calibri"/>
          <w:sz w:val="18"/>
          <w:szCs w:val="18"/>
        </w:rPr>
      </w:pPr>
    </w:p>
    <w:p w14:paraId="6F417E6F" w14:textId="77777777" w:rsidR="004E7B56" w:rsidRDefault="004E7B56">
      <w:pPr>
        <w:pStyle w:val="Standard"/>
        <w:jc w:val="both"/>
        <w:rPr>
          <w:rFonts w:ascii="Calibri" w:hAnsi="Calibri" w:cs="Calibri"/>
          <w:sz w:val="18"/>
          <w:szCs w:val="18"/>
        </w:rPr>
      </w:pPr>
    </w:p>
    <w:p w14:paraId="3E9C5472" w14:textId="77777777" w:rsidR="004E7B56" w:rsidRDefault="004E7B56">
      <w:pPr>
        <w:pStyle w:val="Standard"/>
        <w:jc w:val="both"/>
        <w:rPr>
          <w:rFonts w:ascii="Calibri" w:hAnsi="Calibri" w:cs="Calibri"/>
          <w:sz w:val="18"/>
          <w:szCs w:val="18"/>
        </w:rPr>
      </w:pPr>
    </w:p>
    <w:p w14:paraId="2A588F8E" w14:textId="341860B5" w:rsidR="00953CBE" w:rsidRDefault="00953CBE">
      <w:pPr>
        <w:suppressAutoHyphens w:val="0"/>
        <w:spacing w:after="0" w:line="240" w:lineRule="auto"/>
        <w:jc w:val="left"/>
        <w:rPr>
          <w:lang w:eastAsia="cs-CZ"/>
        </w:rPr>
      </w:pPr>
      <w:r>
        <w:rPr>
          <w:lang w:eastAsia="cs-CZ"/>
        </w:rPr>
        <w:br w:type="page"/>
      </w:r>
    </w:p>
    <w:p w14:paraId="2288085D" w14:textId="77777777" w:rsidR="004E7B56" w:rsidRDefault="009C5AB4">
      <w:pPr>
        <w:pStyle w:val="Nadpis1"/>
        <w:numPr>
          <w:ilvl w:val="0"/>
          <w:numId w:val="0"/>
        </w:numPr>
        <w:rPr>
          <w:rFonts w:cs="Calibri"/>
          <w:szCs w:val="20"/>
          <w:lang w:val="cs-CZ" w:eastAsia="cs-CZ"/>
        </w:rPr>
      </w:pPr>
      <w:r>
        <w:rPr>
          <w:lang w:val="cs-CZ" w:eastAsia="cs-CZ"/>
        </w:rPr>
        <w:lastRenderedPageBreak/>
        <w:t>Příloha C</w:t>
      </w:r>
    </w:p>
    <w:p w14:paraId="57B5A017" w14:textId="77777777" w:rsidR="004E7B56" w:rsidRDefault="004E7B56">
      <w:pPr>
        <w:rPr>
          <w:rFonts w:cs="Calibri"/>
          <w:szCs w:val="20"/>
          <w:lang w:eastAsia="cs-CZ"/>
        </w:rPr>
      </w:pPr>
    </w:p>
    <w:p w14:paraId="6DCB770E" w14:textId="32F7C7A3" w:rsidR="004E7B56" w:rsidRPr="00953CBE" w:rsidRDefault="00953CBE">
      <w:pPr>
        <w:rPr>
          <w:rFonts w:cs="Calibri"/>
          <w:color w:val="FF0000"/>
          <w:szCs w:val="20"/>
          <w:lang w:eastAsia="cs-CZ"/>
        </w:rPr>
      </w:pPr>
      <w:r w:rsidRPr="00953CBE">
        <w:rPr>
          <w:rFonts w:cs="Calibri"/>
          <w:color w:val="FF0000"/>
          <w:szCs w:val="20"/>
          <w:lang w:eastAsia="cs-CZ"/>
        </w:rPr>
        <w:t>Hlavní město Praha, městská část Praha – Vinoř se rozhodla nevyužít svého práva a stanovisko ke zprávě nevypracovala.</w:t>
      </w:r>
    </w:p>
    <w:p w14:paraId="31A35916" w14:textId="77777777" w:rsidR="004E7B56" w:rsidRDefault="004E7B56">
      <w:pPr>
        <w:rPr>
          <w:rFonts w:cs="Calibri"/>
          <w:szCs w:val="20"/>
          <w:lang w:eastAsia="cs-CZ"/>
        </w:rPr>
      </w:pPr>
    </w:p>
    <w:p w14:paraId="629D645A" w14:textId="77777777" w:rsidR="004E7B56" w:rsidRDefault="004E7B56">
      <w:pPr>
        <w:rPr>
          <w:rFonts w:cs="Calibri"/>
          <w:szCs w:val="20"/>
          <w:lang w:eastAsia="cs-CZ"/>
        </w:rPr>
      </w:pPr>
    </w:p>
    <w:p w14:paraId="4B1FB5D9" w14:textId="77777777" w:rsidR="004E7B56" w:rsidRDefault="004E7B56">
      <w:pPr>
        <w:rPr>
          <w:rFonts w:cs="Calibri"/>
          <w:szCs w:val="20"/>
          <w:lang w:eastAsia="cs-CZ"/>
        </w:rPr>
      </w:pPr>
    </w:p>
    <w:p w14:paraId="1A9027EA" w14:textId="77777777" w:rsidR="004E7B56" w:rsidRDefault="004E7B56">
      <w:pPr>
        <w:rPr>
          <w:rFonts w:cs="Calibri"/>
          <w:szCs w:val="20"/>
          <w:lang w:eastAsia="cs-CZ"/>
        </w:rPr>
      </w:pPr>
    </w:p>
    <w:p w14:paraId="27580CEF" w14:textId="77777777" w:rsidR="004E7B56" w:rsidRDefault="004E7B56">
      <w:pPr>
        <w:rPr>
          <w:rFonts w:cs="Calibri"/>
          <w:szCs w:val="20"/>
          <w:lang w:eastAsia="cs-CZ"/>
        </w:rPr>
      </w:pPr>
    </w:p>
    <w:p w14:paraId="77F4E6E4" w14:textId="77777777" w:rsidR="004E7B56" w:rsidRDefault="004E7B56">
      <w:pPr>
        <w:rPr>
          <w:rFonts w:cs="Calibri"/>
          <w:szCs w:val="20"/>
          <w:lang w:eastAsia="cs-CZ"/>
        </w:rPr>
      </w:pPr>
    </w:p>
    <w:p w14:paraId="094AB044" w14:textId="77777777" w:rsidR="004E7B56" w:rsidRDefault="004E7B56">
      <w:pPr>
        <w:rPr>
          <w:rFonts w:cs="Calibri"/>
          <w:szCs w:val="20"/>
          <w:lang w:eastAsia="cs-CZ"/>
        </w:rPr>
      </w:pPr>
    </w:p>
    <w:p w14:paraId="1158E8DD" w14:textId="77777777" w:rsidR="004E7B56" w:rsidRDefault="004E7B56">
      <w:pPr>
        <w:rPr>
          <w:rFonts w:cs="Calibri"/>
          <w:szCs w:val="20"/>
          <w:lang w:eastAsia="cs-CZ"/>
        </w:rPr>
      </w:pPr>
    </w:p>
    <w:p w14:paraId="1AEA16B1" w14:textId="77777777" w:rsidR="004E7B56" w:rsidRDefault="004E7B56">
      <w:pPr>
        <w:rPr>
          <w:rFonts w:cs="Calibri"/>
          <w:szCs w:val="20"/>
          <w:lang w:eastAsia="cs-CZ"/>
        </w:rPr>
      </w:pPr>
    </w:p>
    <w:p w14:paraId="217544D1" w14:textId="77777777" w:rsidR="004E7B56" w:rsidRDefault="004E7B56">
      <w:pPr>
        <w:rPr>
          <w:rFonts w:cs="Calibri"/>
          <w:szCs w:val="20"/>
          <w:lang w:eastAsia="cs-CZ"/>
        </w:rPr>
      </w:pPr>
    </w:p>
    <w:p w14:paraId="2ADDC877" w14:textId="77777777" w:rsidR="004E7B56" w:rsidRDefault="004E7B56">
      <w:pPr>
        <w:rPr>
          <w:rFonts w:cs="Calibri"/>
          <w:szCs w:val="20"/>
          <w:lang w:eastAsia="cs-CZ"/>
        </w:rPr>
      </w:pPr>
    </w:p>
    <w:p w14:paraId="19603C19" w14:textId="77777777" w:rsidR="004E7B56" w:rsidRDefault="004E7B56">
      <w:pPr>
        <w:rPr>
          <w:rFonts w:cs="Calibri"/>
          <w:szCs w:val="20"/>
          <w:lang w:eastAsia="cs-CZ"/>
        </w:rPr>
      </w:pPr>
    </w:p>
    <w:p w14:paraId="1BEE4DC5" w14:textId="77777777" w:rsidR="004E7B56" w:rsidRDefault="004E7B56">
      <w:pPr>
        <w:rPr>
          <w:rFonts w:cs="Calibri"/>
          <w:szCs w:val="20"/>
          <w:lang w:eastAsia="cs-CZ"/>
        </w:rPr>
      </w:pPr>
    </w:p>
    <w:p w14:paraId="202A4B5F" w14:textId="77777777" w:rsidR="004E7B56" w:rsidRDefault="004E7B56">
      <w:pPr>
        <w:rPr>
          <w:rFonts w:cs="Calibri"/>
          <w:szCs w:val="20"/>
          <w:lang w:eastAsia="cs-CZ"/>
        </w:rPr>
      </w:pPr>
    </w:p>
    <w:p w14:paraId="119A35F5" w14:textId="77777777" w:rsidR="004E7B56" w:rsidRDefault="004E7B56">
      <w:pPr>
        <w:rPr>
          <w:rFonts w:cs="Calibri"/>
          <w:szCs w:val="20"/>
          <w:lang w:eastAsia="cs-CZ"/>
        </w:rPr>
      </w:pPr>
    </w:p>
    <w:p w14:paraId="0FB85F94" w14:textId="77777777" w:rsidR="004E7B56" w:rsidRDefault="004E7B56">
      <w:pPr>
        <w:rPr>
          <w:rFonts w:cs="Calibri"/>
          <w:szCs w:val="20"/>
          <w:lang w:eastAsia="cs-CZ"/>
        </w:rPr>
      </w:pPr>
    </w:p>
    <w:p w14:paraId="232E5783" w14:textId="77777777" w:rsidR="00953CBE" w:rsidRDefault="00953CBE">
      <w:pPr>
        <w:rPr>
          <w:rFonts w:cs="Calibri"/>
          <w:szCs w:val="20"/>
          <w:lang w:eastAsia="cs-CZ"/>
        </w:rPr>
      </w:pPr>
    </w:p>
    <w:p w14:paraId="02E0F8A4" w14:textId="77777777" w:rsidR="00953CBE" w:rsidRDefault="00953CBE">
      <w:pPr>
        <w:rPr>
          <w:rFonts w:cs="Calibri"/>
          <w:szCs w:val="20"/>
          <w:lang w:eastAsia="cs-CZ"/>
        </w:rPr>
      </w:pPr>
    </w:p>
    <w:p w14:paraId="64009530" w14:textId="77777777" w:rsidR="00953CBE" w:rsidRDefault="00953CBE">
      <w:pPr>
        <w:rPr>
          <w:rFonts w:cs="Calibri"/>
          <w:szCs w:val="20"/>
          <w:lang w:eastAsia="cs-CZ"/>
        </w:rPr>
      </w:pPr>
    </w:p>
    <w:p w14:paraId="097CA9B0" w14:textId="77777777" w:rsidR="00953CBE" w:rsidRDefault="00953CBE">
      <w:pPr>
        <w:rPr>
          <w:rFonts w:cs="Calibri"/>
          <w:szCs w:val="20"/>
          <w:lang w:eastAsia="cs-CZ"/>
        </w:rPr>
      </w:pPr>
    </w:p>
    <w:p w14:paraId="58AF21B4" w14:textId="77777777" w:rsidR="00953CBE" w:rsidRDefault="00953CBE">
      <w:pPr>
        <w:rPr>
          <w:rFonts w:cs="Calibri"/>
          <w:szCs w:val="20"/>
          <w:lang w:eastAsia="cs-CZ"/>
        </w:rPr>
      </w:pPr>
    </w:p>
    <w:p w14:paraId="6F63C618" w14:textId="77777777" w:rsidR="00953CBE" w:rsidRDefault="00953CBE">
      <w:pPr>
        <w:rPr>
          <w:rFonts w:cs="Calibri"/>
          <w:szCs w:val="20"/>
          <w:lang w:eastAsia="cs-CZ"/>
        </w:rPr>
      </w:pPr>
    </w:p>
    <w:p w14:paraId="3AAE728F" w14:textId="77777777" w:rsidR="00953CBE" w:rsidRDefault="00953CBE">
      <w:pPr>
        <w:rPr>
          <w:rFonts w:cs="Calibri"/>
          <w:szCs w:val="20"/>
          <w:lang w:eastAsia="cs-CZ"/>
        </w:rPr>
      </w:pPr>
    </w:p>
    <w:p w14:paraId="79167ADF" w14:textId="77777777" w:rsidR="00953CBE" w:rsidRDefault="00953CBE">
      <w:pPr>
        <w:rPr>
          <w:rFonts w:cs="Calibri"/>
          <w:szCs w:val="20"/>
          <w:lang w:eastAsia="cs-CZ"/>
        </w:rPr>
      </w:pPr>
    </w:p>
    <w:p w14:paraId="0BDFC2F2" w14:textId="77777777" w:rsidR="00953CBE" w:rsidRDefault="00953CBE">
      <w:pPr>
        <w:rPr>
          <w:rFonts w:cs="Calibri"/>
          <w:szCs w:val="20"/>
          <w:lang w:eastAsia="cs-CZ"/>
        </w:rPr>
      </w:pPr>
    </w:p>
    <w:p w14:paraId="0425533F" w14:textId="77777777" w:rsidR="00953CBE" w:rsidRDefault="00953CBE">
      <w:pPr>
        <w:rPr>
          <w:rFonts w:cs="Calibri"/>
          <w:szCs w:val="20"/>
          <w:lang w:eastAsia="cs-CZ"/>
        </w:rPr>
      </w:pPr>
    </w:p>
    <w:p w14:paraId="0B111F70" w14:textId="77777777" w:rsidR="00C9390E" w:rsidRDefault="00C9390E">
      <w:pPr>
        <w:rPr>
          <w:rFonts w:cs="Calibri"/>
          <w:szCs w:val="20"/>
          <w:lang w:eastAsia="cs-CZ"/>
        </w:rPr>
      </w:pPr>
    </w:p>
    <w:p w14:paraId="2F37575B" w14:textId="77777777" w:rsidR="004E7B56" w:rsidRDefault="009C5AB4">
      <w:pPr>
        <w:pStyle w:val="Nadpis1"/>
        <w:numPr>
          <w:ilvl w:val="0"/>
          <w:numId w:val="0"/>
        </w:numPr>
        <w:rPr>
          <w:lang w:val="cs-CZ"/>
        </w:rPr>
      </w:pPr>
      <w:r>
        <w:rPr>
          <w:lang w:val="cs-CZ"/>
        </w:rPr>
        <w:lastRenderedPageBreak/>
        <w:t>Příloha D</w:t>
      </w:r>
    </w:p>
    <w:p w14:paraId="791F0670" w14:textId="77777777" w:rsidR="004E7B56" w:rsidRDefault="004E7B56"/>
    <w:p w14:paraId="6012A507" w14:textId="77777777" w:rsidR="009C5AB4" w:rsidRDefault="009C5AB4" w:rsidP="009C5AB4">
      <w:pPr>
        <w:rPr>
          <w:rFonts w:cs="Calibri"/>
          <w:szCs w:val="18"/>
        </w:rPr>
      </w:pPr>
      <w:r>
        <w:rPr>
          <w:rFonts w:cs="Calibri"/>
          <w:b/>
          <w:szCs w:val="18"/>
        </w:rPr>
        <w:t>Seznam všech dokladů a jiných materiálů využitých při přezkoumání hospodaření</w:t>
      </w:r>
    </w:p>
    <w:p w14:paraId="4651F667" w14:textId="77777777" w:rsidR="009C5AB4" w:rsidRDefault="009C5AB4" w:rsidP="009C5AB4">
      <w:pPr>
        <w:rPr>
          <w:rFonts w:cs="Calibri"/>
          <w:szCs w:val="18"/>
        </w:rPr>
      </w:pPr>
      <w:r>
        <w:rPr>
          <w:rFonts w:cs="Calibri"/>
          <w:szCs w:val="18"/>
        </w:rPr>
        <w:t>Účetnictví a výkazy</w:t>
      </w:r>
    </w:p>
    <w:p w14:paraId="5166A6BB" w14:textId="77777777" w:rsidR="009C5AB4" w:rsidRDefault="009C5AB4" w:rsidP="009C5AB4">
      <w:pPr>
        <w:pStyle w:val="Odstavecseseznamem"/>
        <w:numPr>
          <w:ilvl w:val="0"/>
          <w:numId w:val="10"/>
        </w:numPr>
        <w:contextualSpacing w:val="0"/>
        <w:jc w:val="left"/>
        <w:rPr>
          <w:rFonts w:cs="Calibri"/>
          <w:sz w:val="18"/>
          <w:szCs w:val="18"/>
        </w:rPr>
      </w:pPr>
      <w:r>
        <w:rPr>
          <w:rFonts w:cs="Calibri"/>
          <w:sz w:val="18"/>
          <w:szCs w:val="18"/>
        </w:rPr>
        <w:t>Účetní závěrka (rozvaha, výkaz zisku a ztráty, příloha účetní závěrky, přehled o peněžních tocích a přehled o změnách vlastního kapitálu) sestavená k rozvahovému dni 31.12.</w:t>
      </w:r>
      <w:r>
        <w:rPr>
          <w:rFonts w:cs="Calibri"/>
          <w:sz w:val="18"/>
          <w:szCs w:val="18"/>
          <w:lang w:val="cs-CZ"/>
        </w:rPr>
        <w:t>2024</w:t>
      </w:r>
    </w:p>
    <w:p w14:paraId="6A17418D" w14:textId="77777777" w:rsidR="009C5AB4" w:rsidRDefault="009C5AB4" w:rsidP="009C5AB4">
      <w:pPr>
        <w:pStyle w:val="Odstavecseseznamem"/>
        <w:numPr>
          <w:ilvl w:val="0"/>
          <w:numId w:val="10"/>
        </w:numPr>
        <w:contextualSpacing w:val="0"/>
        <w:jc w:val="left"/>
        <w:rPr>
          <w:rFonts w:cs="Calibri"/>
          <w:sz w:val="18"/>
          <w:szCs w:val="18"/>
        </w:rPr>
      </w:pPr>
      <w:r>
        <w:rPr>
          <w:rFonts w:cs="Calibri"/>
          <w:sz w:val="18"/>
          <w:szCs w:val="18"/>
        </w:rPr>
        <w:t>Výkaz pro hodnocení rozpočtu FIN 2-12M</w:t>
      </w:r>
    </w:p>
    <w:p w14:paraId="193AB476" w14:textId="77777777" w:rsidR="009C5AB4" w:rsidRDefault="009C5AB4" w:rsidP="009C5AB4">
      <w:pPr>
        <w:pStyle w:val="Odstavecseseznamem"/>
        <w:numPr>
          <w:ilvl w:val="0"/>
          <w:numId w:val="10"/>
        </w:numPr>
        <w:contextualSpacing w:val="0"/>
        <w:jc w:val="left"/>
        <w:rPr>
          <w:rFonts w:cs="Calibri"/>
          <w:sz w:val="18"/>
          <w:szCs w:val="18"/>
        </w:rPr>
      </w:pPr>
      <w:r>
        <w:rPr>
          <w:rFonts w:cs="Calibri"/>
          <w:sz w:val="18"/>
          <w:szCs w:val="18"/>
        </w:rPr>
        <w:t>Inventarizační zpráva, inventury rozvahových účtů</w:t>
      </w:r>
    </w:p>
    <w:p w14:paraId="7C29DE77" w14:textId="77777777" w:rsidR="009C5AB4" w:rsidRDefault="009C5AB4" w:rsidP="009C5AB4">
      <w:pPr>
        <w:pStyle w:val="Odstavecseseznamem"/>
        <w:numPr>
          <w:ilvl w:val="0"/>
          <w:numId w:val="10"/>
        </w:numPr>
        <w:contextualSpacing w:val="0"/>
        <w:jc w:val="left"/>
        <w:rPr>
          <w:rFonts w:cs="Calibri"/>
          <w:sz w:val="18"/>
          <w:szCs w:val="18"/>
        </w:rPr>
      </w:pPr>
      <w:r>
        <w:rPr>
          <w:rFonts w:cs="Calibri"/>
          <w:sz w:val="18"/>
          <w:szCs w:val="18"/>
        </w:rPr>
        <w:t>Účetní deník</w:t>
      </w:r>
    </w:p>
    <w:p w14:paraId="6D4885FF" w14:textId="77777777" w:rsidR="009C5AB4" w:rsidRDefault="009C5AB4" w:rsidP="009C5AB4">
      <w:pPr>
        <w:pStyle w:val="Odstavecseseznamem"/>
        <w:numPr>
          <w:ilvl w:val="0"/>
          <w:numId w:val="10"/>
        </w:numPr>
        <w:contextualSpacing w:val="0"/>
        <w:jc w:val="left"/>
        <w:rPr>
          <w:rFonts w:cs="Calibri"/>
          <w:sz w:val="18"/>
          <w:szCs w:val="18"/>
        </w:rPr>
      </w:pPr>
      <w:r>
        <w:rPr>
          <w:rFonts w:cs="Calibri"/>
          <w:sz w:val="18"/>
          <w:szCs w:val="18"/>
        </w:rPr>
        <w:t>Hlavní kniha</w:t>
      </w:r>
    </w:p>
    <w:p w14:paraId="124970C4" w14:textId="77777777" w:rsidR="009C5AB4" w:rsidRDefault="009C5AB4" w:rsidP="009C5AB4">
      <w:pPr>
        <w:pStyle w:val="Odstavecseseznamem"/>
        <w:numPr>
          <w:ilvl w:val="0"/>
          <w:numId w:val="10"/>
        </w:numPr>
        <w:contextualSpacing w:val="0"/>
        <w:jc w:val="left"/>
        <w:rPr>
          <w:rFonts w:cs="Calibri"/>
          <w:sz w:val="18"/>
          <w:szCs w:val="18"/>
        </w:rPr>
      </w:pPr>
      <w:r>
        <w:rPr>
          <w:rFonts w:cs="Calibri"/>
          <w:sz w:val="18"/>
          <w:szCs w:val="18"/>
        </w:rPr>
        <w:t>Účtový rozvrh</w:t>
      </w:r>
    </w:p>
    <w:p w14:paraId="2677BCB0" w14:textId="77777777" w:rsidR="009C5AB4" w:rsidRDefault="009C5AB4" w:rsidP="009C5AB4">
      <w:pPr>
        <w:pStyle w:val="Odstavecseseznamem"/>
        <w:numPr>
          <w:ilvl w:val="0"/>
          <w:numId w:val="10"/>
        </w:numPr>
        <w:contextualSpacing w:val="0"/>
        <w:jc w:val="left"/>
        <w:rPr>
          <w:rFonts w:cs="Calibri"/>
          <w:szCs w:val="18"/>
        </w:rPr>
      </w:pPr>
      <w:r>
        <w:rPr>
          <w:rFonts w:cs="Calibri"/>
          <w:sz w:val="18"/>
          <w:szCs w:val="18"/>
        </w:rPr>
        <w:t>Vnitřní směrnice, pokyny a nařízení</w:t>
      </w:r>
    </w:p>
    <w:p w14:paraId="5A8E693A" w14:textId="77777777" w:rsidR="009C5AB4" w:rsidRDefault="009C5AB4" w:rsidP="009C5AB4">
      <w:pPr>
        <w:rPr>
          <w:rFonts w:cs="Calibri"/>
          <w:szCs w:val="18"/>
        </w:rPr>
      </w:pPr>
      <w:r>
        <w:rPr>
          <w:rFonts w:cs="Calibri"/>
          <w:szCs w:val="18"/>
        </w:rPr>
        <w:t>Dlouhodobý nehmotný a hmotný majetek</w:t>
      </w:r>
    </w:p>
    <w:p w14:paraId="2467C63D" w14:textId="77777777" w:rsidR="009C5AB4" w:rsidRDefault="009C5AB4" w:rsidP="009C5AB4">
      <w:pPr>
        <w:pStyle w:val="Odstavecseseznamem"/>
        <w:numPr>
          <w:ilvl w:val="0"/>
          <w:numId w:val="16"/>
        </w:numPr>
        <w:contextualSpacing w:val="0"/>
        <w:jc w:val="left"/>
        <w:rPr>
          <w:rFonts w:cs="Calibri"/>
          <w:sz w:val="18"/>
          <w:szCs w:val="18"/>
        </w:rPr>
      </w:pPr>
      <w:r>
        <w:rPr>
          <w:rFonts w:cs="Calibri"/>
          <w:sz w:val="18"/>
          <w:szCs w:val="18"/>
        </w:rPr>
        <w:t>Registry majetku</w:t>
      </w:r>
    </w:p>
    <w:p w14:paraId="3C2CE8C7" w14:textId="77777777" w:rsidR="009C5AB4" w:rsidRDefault="009C5AB4" w:rsidP="009C5AB4">
      <w:pPr>
        <w:pStyle w:val="Odstavecseseznamem"/>
        <w:numPr>
          <w:ilvl w:val="0"/>
          <w:numId w:val="16"/>
        </w:numPr>
        <w:contextualSpacing w:val="0"/>
        <w:jc w:val="left"/>
        <w:rPr>
          <w:rFonts w:cs="Calibri"/>
          <w:sz w:val="18"/>
          <w:szCs w:val="18"/>
        </w:rPr>
      </w:pPr>
      <w:r>
        <w:rPr>
          <w:rFonts w:cs="Calibri"/>
          <w:sz w:val="18"/>
          <w:szCs w:val="18"/>
        </w:rPr>
        <w:t>Dokumentace k organizačnímu zajištění a způsobu provedení inventarizace majetku a závazků</w:t>
      </w:r>
    </w:p>
    <w:p w14:paraId="21EAF33C" w14:textId="77777777" w:rsidR="009C5AB4" w:rsidRDefault="009C5AB4" w:rsidP="009C5AB4">
      <w:pPr>
        <w:pStyle w:val="Odstavecseseznamem"/>
        <w:numPr>
          <w:ilvl w:val="0"/>
          <w:numId w:val="16"/>
        </w:numPr>
        <w:contextualSpacing w:val="0"/>
        <w:jc w:val="left"/>
        <w:rPr>
          <w:rFonts w:cs="Calibri"/>
          <w:sz w:val="18"/>
          <w:szCs w:val="18"/>
        </w:rPr>
      </w:pPr>
      <w:r>
        <w:rPr>
          <w:rFonts w:cs="Calibri"/>
          <w:sz w:val="18"/>
          <w:szCs w:val="18"/>
        </w:rPr>
        <w:t>Položkový rozpis přírůstků a úbytků dlouhodobého nehmotného a hmotného majetku</w:t>
      </w:r>
    </w:p>
    <w:p w14:paraId="4D820F93" w14:textId="77777777" w:rsidR="009C5AB4" w:rsidRDefault="009C5AB4" w:rsidP="009C5AB4">
      <w:pPr>
        <w:pStyle w:val="Odstavecseseznamem"/>
        <w:numPr>
          <w:ilvl w:val="0"/>
          <w:numId w:val="16"/>
        </w:numPr>
        <w:contextualSpacing w:val="0"/>
        <w:jc w:val="left"/>
        <w:rPr>
          <w:rFonts w:cs="Calibri"/>
          <w:sz w:val="18"/>
          <w:szCs w:val="18"/>
        </w:rPr>
      </w:pPr>
      <w:r>
        <w:rPr>
          <w:rFonts w:cs="Calibri"/>
          <w:sz w:val="18"/>
          <w:szCs w:val="18"/>
        </w:rPr>
        <w:t>Položkový rozpis nedokončeného nehmotného a hmotného majetku</w:t>
      </w:r>
    </w:p>
    <w:p w14:paraId="119C5EE2" w14:textId="77777777" w:rsidR="009C5AB4" w:rsidRDefault="009C5AB4" w:rsidP="009C5AB4">
      <w:pPr>
        <w:pStyle w:val="Odstavecseseznamem"/>
        <w:numPr>
          <w:ilvl w:val="0"/>
          <w:numId w:val="16"/>
        </w:numPr>
        <w:contextualSpacing w:val="0"/>
        <w:jc w:val="left"/>
        <w:rPr>
          <w:rFonts w:cs="Calibri"/>
          <w:sz w:val="18"/>
          <w:szCs w:val="18"/>
        </w:rPr>
      </w:pPr>
      <w:r>
        <w:rPr>
          <w:rFonts w:cs="Calibri"/>
          <w:sz w:val="18"/>
          <w:szCs w:val="18"/>
        </w:rPr>
        <w:t>Položkový rozpis poskytnutých záloh na pořízení hmotného a nehmotného majetku</w:t>
      </w:r>
    </w:p>
    <w:p w14:paraId="36F0CDD5" w14:textId="77777777" w:rsidR="009C5AB4" w:rsidRDefault="009C5AB4" w:rsidP="009C5AB4">
      <w:pPr>
        <w:pStyle w:val="Odstavecseseznamem"/>
        <w:numPr>
          <w:ilvl w:val="0"/>
          <w:numId w:val="16"/>
        </w:numPr>
        <w:contextualSpacing w:val="0"/>
        <w:jc w:val="left"/>
        <w:rPr>
          <w:rFonts w:cs="Calibri"/>
          <w:sz w:val="18"/>
          <w:szCs w:val="18"/>
        </w:rPr>
      </w:pPr>
      <w:r>
        <w:rPr>
          <w:rFonts w:cs="Calibri"/>
          <w:sz w:val="18"/>
          <w:szCs w:val="18"/>
        </w:rPr>
        <w:t>Odpisový plán</w:t>
      </w:r>
    </w:p>
    <w:p w14:paraId="4F153407" w14:textId="77777777" w:rsidR="009C5AB4" w:rsidRDefault="009C5AB4" w:rsidP="009C5AB4">
      <w:pPr>
        <w:pStyle w:val="Odstavecseseznamem"/>
        <w:numPr>
          <w:ilvl w:val="0"/>
          <w:numId w:val="16"/>
        </w:numPr>
        <w:contextualSpacing w:val="0"/>
        <w:jc w:val="left"/>
        <w:rPr>
          <w:rFonts w:cs="Calibri"/>
          <w:sz w:val="18"/>
          <w:szCs w:val="18"/>
        </w:rPr>
      </w:pPr>
      <w:r>
        <w:rPr>
          <w:rFonts w:cs="Calibri"/>
          <w:sz w:val="18"/>
          <w:szCs w:val="18"/>
        </w:rPr>
        <w:t>Interní směrnice dle ČÚS č. 710 – část ostatní ustanovení pro naplnění § 36 odst. 1 zákona č. 563/1991 Sb., o účetnictví</w:t>
      </w:r>
    </w:p>
    <w:p w14:paraId="7B79CD9A" w14:textId="77777777" w:rsidR="009C5AB4" w:rsidRDefault="009C5AB4" w:rsidP="009C5AB4">
      <w:pPr>
        <w:pStyle w:val="Odstavecseseznamem"/>
        <w:numPr>
          <w:ilvl w:val="0"/>
          <w:numId w:val="16"/>
        </w:numPr>
        <w:contextualSpacing w:val="0"/>
        <w:jc w:val="left"/>
        <w:rPr>
          <w:rFonts w:cs="Calibri"/>
          <w:sz w:val="18"/>
          <w:szCs w:val="18"/>
        </w:rPr>
      </w:pPr>
      <w:r>
        <w:rPr>
          <w:rFonts w:cs="Calibri"/>
          <w:sz w:val="18"/>
          <w:szCs w:val="18"/>
        </w:rPr>
        <w:t>Seznam zastaveného nehmotného a hmotného majetku</w:t>
      </w:r>
    </w:p>
    <w:p w14:paraId="0AD17DB7" w14:textId="77777777" w:rsidR="009C5AB4" w:rsidRDefault="009C5AB4" w:rsidP="009C5AB4">
      <w:pPr>
        <w:pStyle w:val="Odstavecseseznamem"/>
        <w:numPr>
          <w:ilvl w:val="0"/>
          <w:numId w:val="16"/>
        </w:numPr>
        <w:contextualSpacing w:val="0"/>
        <w:jc w:val="left"/>
        <w:rPr>
          <w:rFonts w:cs="Calibri"/>
          <w:sz w:val="18"/>
          <w:szCs w:val="18"/>
        </w:rPr>
      </w:pPr>
      <w:r>
        <w:rPr>
          <w:rFonts w:cs="Calibri"/>
          <w:sz w:val="18"/>
          <w:szCs w:val="18"/>
        </w:rPr>
        <w:t>Rozpis tvorby opravných položek</w:t>
      </w:r>
    </w:p>
    <w:p w14:paraId="21D09732" w14:textId="77777777" w:rsidR="009C5AB4" w:rsidRPr="00B85437" w:rsidRDefault="009C5AB4" w:rsidP="009C5AB4">
      <w:pPr>
        <w:pStyle w:val="Odstavecseseznamem"/>
        <w:numPr>
          <w:ilvl w:val="0"/>
          <w:numId w:val="16"/>
        </w:numPr>
        <w:contextualSpacing w:val="0"/>
        <w:jc w:val="left"/>
        <w:rPr>
          <w:rFonts w:cs="Calibri"/>
          <w:szCs w:val="18"/>
        </w:rPr>
      </w:pPr>
      <w:r>
        <w:rPr>
          <w:rFonts w:cs="Calibri"/>
          <w:sz w:val="18"/>
          <w:szCs w:val="18"/>
        </w:rPr>
        <w:t>Výpisy z katastru nemovitostí</w:t>
      </w:r>
    </w:p>
    <w:p w14:paraId="5A45181A" w14:textId="77777777" w:rsidR="009C5AB4" w:rsidRPr="00B85437" w:rsidRDefault="009C5AB4" w:rsidP="009C5AB4">
      <w:pPr>
        <w:pStyle w:val="Odstavecseseznamem"/>
        <w:numPr>
          <w:ilvl w:val="0"/>
          <w:numId w:val="16"/>
        </w:numPr>
        <w:jc w:val="left"/>
        <w:rPr>
          <w:rFonts w:cs="Calibri"/>
          <w:sz w:val="20"/>
          <w:szCs w:val="16"/>
        </w:rPr>
      </w:pPr>
      <w:r w:rsidRPr="00B85437">
        <w:rPr>
          <w:rFonts w:cs="Calibri"/>
          <w:sz w:val="18"/>
          <w:szCs w:val="18"/>
        </w:rPr>
        <w:t>Vybrané účetní doklady k pohybům na účtech: účet č. 028 – 2405100071 ze dne 27. 11. 2024, 2405100008 ze dne 7.5.2024, 2405100005 ze dne 5.2.2024, 2405100030 ze dne 6.8.2024, 2405100057 ze dne 18.9.2024</w:t>
      </w:r>
      <w:r>
        <w:rPr>
          <w:rFonts w:cs="Calibri"/>
          <w:sz w:val="18"/>
          <w:szCs w:val="18"/>
        </w:rPr>
        <w:t xml:space="preserve">, účet č. 031 – </w:t>
      </w:r>
      <w:r w:rsidRPr="00B85437">
        <w:rPr>
          <w:rFonts w:cs="Calibri"/>
          <w:sz w:val="18"/>
          <w:szCs w:val="18"/>
        </w:rPr>
        <w:t>2405100049</w:t>
      </w:r>
      <w:r>
        <w:rPr>
          <w:rFonts w:cs="Calibri"/>
          <w:sz w:val="18"/>
          <w:szCs w:val="18"/>
        </w:rPr>
        <w:t xml:space="preserve"> ze </w:t>
      </w:r>
      <w:r w:rsidRPr="00B85437">
        <w:rPr>
          <w:rFonts w:cs="Calibri"/>
          <w:sz w:val="18"/>
          <w:szCs w:val="18"/>
        </w:rPr>
        <w:t>dne 27.8.2024</w:t>
      </w:r>
      <w:r>
        <w:rPr>
          <w:rFonts w:cs="Calibri"/>
          <w:sz w:val="18"/>
          <w:szCs w:val="18"/>
        </w:rPr>
        <w:t xml:space="preserve">, </w:t>
      </w:r>
      <w:r w:rsidRPr="00B85437">
        <w:rPr>
          <w:rFonts w:cs="Calibri"/>
          <w:sz w:val="20"/>
          <w:szCs w:val="16"/>
        </w:rPr>
        <w:t>2405100025 ze dne 31.7.2024</w:t>
      </w:r>
      <w:r>
        <w:rPr>
          <w:rFonts w:cs="Calibri"/>
          <w:sz w:val="20"/>
          <w:szCs w:val="16"/>
        </w:rPr>
        <w:t xml:space="preserve">, účet č. 022 – </w:t>
      </w:r>
      <w:r w:rsidRPr="00B85437">
        <w:rPr>
          <w:rFonts w:cs="Calibri"/>
          <w:sz w:val="20"/>
          <w:szCs w:val="16"/>
        </w:rPr>
        <w:t>2405100014</w:t>
      </w:r>
      <w:r>
        <w:rPr>
          <w:rFonts w:cs="Calibri"/>
          <w:sz w:val="20"/>
          <w:szCs w:val="16"/>
        </w:rPr>
        <w:t xml:space="preserve"> ze</w:t>
      </w:r>
      <w:r w:rsidRPr="00B85437">
        <w:rPr>
          <w:rFonts w:cs="Calibri"/>
          <w:sz w:val="20"/>
          <w:szCs w:val="16"/>
        </w:rPr>
        <w:t xml:space="preserve"> dne 27.5.2024</w:t>
      </w:r>
      <w:r>
        <w:rPr>
          <w:rFonts w:cs="Calibri"/>
          <w:sz w:val="20"/>
          <w:szCs w:val="16"/>
        </w:rPr>
        <w:t xml:space="preserve">, </w:t>
      </w:r>
      <w:r w:rsidRPr="00B85437">
        <w:rPr>
          <w:rFonts w:cs="Calibri"/>
          <w:sz w:val="20"/>
          <w:szCs w:val="16"/>
        </w:rPr>
        <w:t>2405100074 ze dne 26.9.2024</w:t>
      </w:r>
    </w:p>
    <w:p w14:paraId="27BA8D77" w14:textId="77777777" w:rsidR="009C5AB4" w:rsidRDefault="009C5AB4" w:rsidP="009C5AB4">
      <w:pPr>
        <w:rPr>
          <w:rFonts w:cs="Calibri"/>
          <w:szCs w:val="18"/>
        </w:rPr>
      </w:pPr>
      <w:r>
        <w:rPr>
          <w:rFonts w:cs="Calibri"/>
          <w:szCs w:val="18"/>
        </w:rPr>
        <w:t>Finanční majetek</w:t>
      </w:r>
    </w:p>
    <w:p w14:paraId="3AD1D6E9" w14:textId="77777777" w:rsidR="009C5AB4" w:rsidRDefault="009C5AB4" w:rsidP="009C5AB4">
      <w:pPr>
        <w:pStyle w:val="Odstavecseseznamem"/>
        <w:numPr>
          <w:ilvl w:val="0"/>
          <w:numId w:val="14"/>
        </w:numPr>
        <w:contextualSpacing w:val="0"/>
        <w:jc w:val="left"/>
        <w:rPr>
          <w:rFonts w:cs="Calibri"/>
          <w:sz w:val="18"/>
          <w:szCs w:val="18"/>
        </w:rPr>
      </w:pPr>
      <w:r>
        <w:rPr>
          <w:rFonts w:cs="Calibri"/>
          <w:sz w:val="18"/>
          <w:szCs w:val="18"/>
        </w:rPr>
        <w:t>Seznam bank a bankovních účtů</w:t>
      </w:r>
    </w:p>
    <w:p w14:paraId="1F2E89D4" w14:textId="77777777" w:rsidR="009C5AB4" w:rsidRDefault="009C5AB4" w:rsidP="009C5AB4">
      <w:pPr>
        <w:pStyle w:val="Odstavecseseznamem"/>
        <w:numPr>
          <w:ilvl w:val="0"/>
          <w:numId w:val="14"/>
        </w:numPr>
        <w:contextualSpacing w:val="0"/>
        <w:jc w:val="left"/>
        <w:rPr>
          <w:rFonts w:cs="Calibri"/>
          <w:sz w:val="18"/>
          <w:szCs w:val="18"/>
        </w:rPr>
      </w:pPr>
      <w:r>
        <w:rPr>
          <w:rFonts w:cs="Calibri"/>
          <w:sz w:val="18"/>
          <w:szCs w:val="18"/>
        </w:rPr>
        <w:t>Bankovní výpisy</w:t>
      </w:r>
    </w:p>
    <w:p w14:paraId="576A540B" w14:textId="77777777" w:rsidR="009C5AB4" w:rsidRDefault="009C5AB4" w:rsidP="009C5AB4">
      <w:pPr>
        <w:pStyle w:val="Odstavecseseznamem"/>
        <w:numPr>
          <w:ilvl w:val="0"/>
          <w:numId w:val="14"/>
        </w:numPr>
        <w:contextualSpacing w:val="0"/>
        <w:jc w:val="left"/>
        <w:rPr>
          <w:rFonts w:cs="Calibri"/>
          <w:sz w:val="18"/>
          <w:szCs w:val="18"/>
        </w:rPr>
      </w:pPr>
      <w:r>
        <w:rPr>
          <w:rFonts w:cs="Calibri"/>
          <w:sz w:val="18"/>
          <w:szCs w:val="18"/>
        </w:rPr>
        <w:t>Pokladní doklady</w:t>
      </w:r>
    </w:p>
    <w:p w14:paraId="25271585" w14:textId="77777777" w:rsidR="009C5AB4" w:rsidRDefault="009C5AB4" w:rsidP="009C5AB4">
      <w:pPr>
        <w:pStyle w:val="Odstavecseseznamem"/>
        <w:numPr>
          <w:ilvl w:val="0"/>
          <w:numId w:val="14"/>
        </w:numPr>
        <w:contextualSpacing w:val="0"/>
        <w:jc w:val="left"/>
        <w:rPr>
          <w:rFonts w:cs="Calibri"/>
          <w:sz w:val="18"/>
          <w:szCs w:val="18"/>
        </w:rPr>
      </w:pPr>
      <w:r>
        <w:rPr>
          <w:rFonts w:cs="Calibri"/>
          <w:sz w:val="18"/>
          <w:szCs w:val="18"/>
        </w:rPr>
        <w:lastRenderedPageBreak/>
        <w:t>Pokladní knihy (deníky)</w:t>
      </w:r>
    </w:p>
    <w:p w14:paraId="67715BE4" w14:textId="77777777" w:rsidR="009C5AB4" w:rsidRDefault="009C5AB4" w:rsidP="009C5AB4">
      <w:pPr>
        <w:pStyle w:val="Odstavecseseznamem"/>
        <w:numPr>
          <w:ilvl w:val="0"/>
          <w:numId w:val="14"/>
        </w:numPr>
        <w:contextualSpacing w:val="0"/>
        <w:jc w:val="left"/>
        <w:rPr>
          <w:rFonts w:cs="Calibri"/>
          <w:sz w:val="18"/>
          <w:szCs w:val="18"/>
        </w:rPr>
      </w:pPr>
      <w:r>
        <w:rPr>
          <w:rFonts w:cs="Calibri"/>
          <w:sz w:val="18"/>
          <w:szCs w:val="18"/>
        </w:rPr>
        <w:t>Účetní doklady a související podkladová dokumentace</w:t>
      </w:r>
    </w:p>
    <w:p w14:paraId="02DF2C19" w14:textId="77777777" w:rsidR="009C5AB4" w:rsidRDefault="009C5AB4" w:rsidP="009C5AB4">
      <w:pPr>
        <w:pStyle w:val="Odstavecseseznamem"/>
        <w:numPr>
          <w:ilvl w:val="0"/>
          <w:numId w:val="14"/>
        </w:numPr>
        <w:contextualSpacing w:val="0"/>
        <w:jc w:val="left"/>
        <w:rPr>
          <w:rFonts w:cs="Calibri"/>
          <w:szCs w:val="18"/>
        </w:rPr>
      </w:pPr>
      <w:r>
        <w:rPr>
          <w:rFonts w:cs="Calibri"/>
          <w:sz w:val="18"/>
          <w:szCs w:val="18"/>
        </w:rPr>
        <w:t>Účetní závěrky společností, ve kterých má ÚJ majetkové účasti</w:t>
      </w:r>
    </w:p>
    <w:p w14:paraId="46AB6EA2" w14:textId="77777777" w:rsidR="009C5AB4" w:rsidRDefault="009C5AB4" w:rsidP="009C5AB4">
      <w:pPr>
        <w:rPr>
          <w:rFonts w:cs="Calibri"/>
          <w:szCs w:val="18"/>
        </w:rPr>
      </w:pPr>
      <w:r>
        <w:rPr>
          <w:rFonts w:cs="Calibri"/>
          <w:szCs w:val="18"/>
        </w:rPr>
        <w:t>Pohledávky</w:t>
      </w:r>
    </w:p>
    <w:p w14:paraId="39C0157F" w14:textId="77777777" w:rsidR="009C5AB4" w:rsidRDefault="009C5AB4" w:rsidP="009C5AB4">
      <w:pPr>
        <w:pStyle w:val="Odstavecseseznamem"/>
        <w:numPr>
          <w:ilvl w:val="0"/>
          <w:numId w:val="18"/>
        </w:numPr>
        <w:contextualSpacing w:val="0"/>
        <w:jc w:val="left"/>
        <w:rPr>
          <w:rFonts w:cs="Calibri"/>
          <w:sz w:val="18"/>
          <w:szCs w:val="18"/>
        </w:rPr>
      </w:pPr>
      <w:r>
        <w:rPr>
          <w:rFonts w:cs="Calibri"/>
          <w:sz w:val="18"/>
          <w:szCs w:val="18"/>
        </w:rPr>
        <w:t>Saldokonto pohledávek odsouhlasené na hlavní knihu</w:t>
      </w:r>
    </w:p>
    <w:p w14:paraId="19056F0C" w14:textId="77777777" w:rsidR="009C5AB4" w:rsidRDefault="009C5AB4" w:rsidP="009C5AB4">
      <w:pPr>
        <w:pStyle w:val="Odstavecseseznamem"/>
        <w:numPr>
          <w:ilvl w:val="0"/>
          <w:numId w:val="18"/>
        </w:numPr>
        <w:contextualSpacing w:val="0"/>
        <w:jc w:val="left"/>
        <w:rPr>
          <w:rFonts w:cs="Calibri"/>
          <w:sz w:val="18"/>
          <w:szCs w:val="18"/>
        </w:rPr>
      </w:pPr>
      <w:r>
        <w:rPr>
          <w:rFonts w:cs="Calibri"/>
          <w:sz w:val="18"/>
          <w:szCs w:val="18"/>
        </w:rPr>
        <w:t>Věková struktura pohledávek – dle požadavků vyhlášky č. 410/2009 Sb.</w:t>
      </w:r>
    </w:p>
    <w:p w14:paraId="0081E4E6" w14:textId="77777777" w:rsidR="009C5AB4" w:rsidRDefault="009C5AB4" w:rsidP="009C5AB4">
      <w:pPr>
        <w:pStyle w:val="Odstavecseseznamem"/>
        <w:numPr>
          <w:ilvl w:val="0"/>
          <w:numId w:val="18"/>
        </w:numPr>
        <w:contextualSpacing w:val="0"/>
        <w:jc w:val="left"/>
        <w:rPr>
          <w:rFonts w:cs="Calibri"/>
          <w:sz w:val="18"/>
          <w:szCs w:val="18"/>
        </w:rPr>
      </w:pPr>
      <w:r>
        <w:rPr>
          <w:rFonts w:cs="Calibri"/>
          <w:sz w:val="18"/>
          <w:szCs w:val="18"/>
        </w:rPr>
        <w:t>Rozpis tvorby opravných položek</w:t>
      </w:r>
    </w:p>
    <w:p w14:paraId="1236EE40" w14:textId="77777777" w:rsidR="009C5AB4" w:rsidRDefault="009C5AB4" w:rsidP="009C5AB4">
      <w:pPr>
        <w:pStyle w:val="Odstavecseseznamem"/>
        <w:numPr>
          <w:ilvl w:val="0"/>
          <w:numId w:val="18"/>
        </w:numPr>
        <w:contextualSpacing w:val="0"/>
        <w:rPr>
          <w:rFonts w:cs="Calibri"/>
          <w:sz w:val="18"/>
          <w:szCs w:val="18"/>
        </w:rPr>
      </w:pPr>
      <w:r>
        <w:rPr>
          <w:rFonts w:cs="Calibri"/>
          <w:sz w:val="18"/>
          <w:szCs w:val="18"/>
        </w:rPr>
        <w:t>Dokumentace k zajištění pohledávek proti promlčení (např. upomínky, uplatnění sankcí za prodlení s úhradami, žaloby, rozhodnutí soudů), přehled o stavu pohledávek podle splatnosti k 31.12. přezkoumávaného období za hlavní a hospodářskou činnost</w:t>
      </w:r>
    </w:p>
    <w:p w14:paraId="605EC48C" w14:textId="77777777" w:rsidR="009C5AB4" w:rsidRDefault="009C5AB4" w:rsidP="009C5AB4">
      <w:pPr>
        <w:pStyle w:val="Odstavecseseznamem"/>
        <w:numPr>
          <w:ilvl w:val="0"/>
          <w:numId w:val="18"/>
        </w:numPr>
        <w:contextualSpacing w:val="0"/>
        <w:jc w:val="left"/>
        <w:rPr>
          <w:rFonts w:cs="Calibri"/>
          <w:sz w:val="18"/>
          <w:szCs w:val="18"/>
        </w:rPr>
      </w:pPr>
      <w:r>
        <w:rPr>
          <w:rFonts w:cs="Calibri"/>
          <w:sz w:val="18"/>
          <w:szCs w:val="18"/>
        </w:rPr>
        <w:t>Vydané faktury</w:t>
      </w:r>
    </w:p>
    <w:p w14:paraId="2EA71626" w14:textId="77777777" w:rsidR="009C5AB4" w:rsidRDefault="009C5AB4" w:rsidP="009C5AB4">
      <w:pPr>
        <w:pStyle w:val="Odstavecseseznamem"/>
        <w:numPr>
          <w:ilvl w:val="0"/>
          <w:numId w:val="18"/>
        </w:numPr>
        <w:contextualSpacing w:val="0"/>
        <w:jc w:val="left"/>
        <w:rPr>
          <w:rFonts w:cs="Calibri"/>
          <w:sz w:val="18"/>
          <w:szCs w:val="18"/>
        </w:rPr>
      </w:pPr>
      <w:r>
        <w:rPr>
          <w:rFonts w:cs="Calibri"/>
          <w:sz w:val="18"/>
          <w:szCs w:val="18"/>
        </w:rPr>
        <w:t>Kniha vydaných faktur</w:t>
      </w:r>
    </w:p>
    <w:p w14:paraId="5B098585" w14:textId="77777777" w:rsidR="009C5AB4" w:rsidRDefault="009C5AB4" w:rsidP="009C5AB4">
      <w:pPr>
        <w:pStyle w:val="Odstavecseseznamem"/>
        <w:numPr>
          <w:ilvl w:val="0"/>
          <w:numId w:val="18"/>
        </w:numPr>
        <w:contextualSpacing w:val="0"/>
        <w:jc w:val="left"/>
        <w:rPr>
          <w:rFonts w:cs="Calibri"/>
          <w:sz w:val="18"/>
          <w:szCs w:val="18"/>
        </w:rPr>
      </w:pPr>
      <w:r>
        <w:rPr>
          <w:rFonts w:cs="Calibri"/>
          <w:sz w:val="18"/>
          <w:szCs w:val="18"/>
        </w:rPr>
        <w:t>Evidence poplatků</w:t>
      </w:r>
    </w:p>
    <w:p w14:paraId="175437BB" w14:textId="77777777" w:rsidR="009C5AB4" w:rsidRPr="007660DE" w:rsidRDefault="009C5AB4" w:rsidP="009C5AB4">
      <w:pPr>
        <w:pStyle w:val="Odstavecseseznamem"/>
        <w:numPr>
          <w:ilvl w:val="0"/>
          <w:numId w:val="18"/>
        </w:numPr>
        <w:contextualSpacing w:val="0"/>
        <w:jc w:val="left"/>
        <w:rPr>
          <w:rFonts w:cs="Calibri"/>
          <w:szCs w:val="18"/>
        </w:rPr>
      </w:pPr>
      <w:r>
        <w:rPr>
          <w:rFonts w:cs="Calibri"/>
          <w:sz w:val="18"/>
          <w:szCs w:val="18"/>
        </w:rPr>
        <w:t>Centrální evidence smluv</w:t>
      </w:r>
    </w:p>
    <w:p w14:paraId="14EAB071" w14:textId="77777777" w:rsidR="009C5AB4" w:rsidRPr="007660DE" w:rsidRDefault="009C5AB4" w:rsidP="009C5AB4">
      <w:pPr>
        <w:pStyle w:val="Odstavecseseznamem"/>
        <w:numPr>
          <w:ilvl w:val="0"/>
          <w:numId w:val="18"/>
        </w:numPr>
        <w:contextualSpacing w:val="0"/>
        <w:jc w:val="left"/>
        <w:rPr>
          <w:rFonts w:cs="Calibri"/>
          <w:szCs w:val="18"/>
        </w:rPr>
      </w:pPr>
      <w:r>
        <w:rPr>
          <w:rFonts w:cs="Calibri"/>
          <w:sz w:val="18"/>
          <w:szCs w:val="18"/>
        </w:rPr>
        <w:t>Kontrolované doklady: doklad č</w:t>
      </w:r>
      <w:r w:rsidRPr="007660DE">
        <w:rPr>
          <w:rFonts w:cs="Calibri"/>
          <w:sz w:val="18"/>
          <w:szCs w:val="18"/>
        </w:rPr>
        <w:t>. 2492000001 ze dne 24.01.2024, 2492000002 ze dne 26.01.2024, 2492000005 ze dne 01.02.2024, 2492000008 ze dne 17.01.2024, 2492000026 ze dne 05.02.2024, 2492000027 ze dne 05.02.2024, 2492000032 ze dne 05.02.2024, 2492000042 ze dne 06.03.2024, 2492000065 ze dne 20.03.2024, 2492000082 ze dne 10.04.2024, 2492000089 ze dne 10.04.2024, 2492000116 ze dne 24.04.2024, 2492000142 ze dne 29.05.2024, 2492000143 ze dne 29.05.2024, 2492000161 ze dne 12.06.2024, 2492000190 ze dne 22.07.2024, 2492000202 ze dne 22.07.2024, 2492000214 ze dne 24.07.2024, 2492000220 ze dne 14.08.2024</w:t>
      </w:r>
    </w:p>
    <w:p w14:paraId="0A7F98AD" w14:textId="77777777" w:rsidR="009C5AB4" w:rsidRDefault="009C5AB4" w:rsidP="009C5AB4">
      <w:pPr>
        <w:rPr>
          <w:rFonts w:cs="Calibri"/>
          <w:szCs w:val="18"/>
        </w:rPr>
      </w:pPr>
      <w:r>
        <w:rPr>
          <w:rFonts w:cs="Calibri"/>
          <w:szCs w:val="18"/>
        </w:rPr>
        <w:t>Daně</w:t>
      </w:r>
    </w:p>
    <w:p w14:paraId="5C10CC1C" w14:textId="77777777" w:rsidR="009C5AB4" w:rsidRDefault="009C5AB4" w:rsidP="009C5AB4">
      <w:pPr>
        <w:pStyle w:val="Odstavecseseznamem"/>
        <w:numPr>
          <w:ilvl w:val="0"/>
          <w:numId w:val="5"/>
        </w:numPr>
        <w:contextualSpacing w:val="0"/>
        <w:jc w:val="left"/>
        <w:rPr>
          <w:rFonts w:cs="Calibri"/>
          <w:sz w:val="18"/>
          <w:szCs w:val="18"/>
        </w:rPr>
      </w:pPr>
      <w:r>
        <w:rPr>
          <w:rFonts w:cs="Calibri"/>
          <w:sz w:val="18"/>
          <w:szCs w:val="18"/>
        </w:rPr>
        <w:t>Kopie přiznání k dani z příjmů za rok 2023</w:t>
      </w:r>
    </w:p>
    <w:p w14:paraId="0B732EE8" w14:textId="77777777" w:rsidR="009C5AB4" w:rsidRDefault="009C5AB4" w:rsidP="009C5AB4">
      <w:pPr>
        <w:pStyle w:val="Odstavecseseznamem"/>
        <w:numPr>
          <w:ilvl w:val="0"/>
          <w:numId w:val="5"/>
        </w:numPr>
        <w:contextualSpacing w:val="0"/>
        <w:jc w:val="left"/>
        <w:rPr>
          <w:rFonts w:cs="Calibri"/>
          <w:szCs w:val="18"/>
        </w:rPr>
      </w:pPr>
      <w:r>
        <w:rPr>
          <w:rFonts w:cs="Calibri"/>
          <w:sz w:val="18"/>
          <w:szCs w:val="18"/>
        </w:rPr>
        <w:t xml:space="preserve">Kopie přiznání k DPH </w:t>
      </w:r>
    </w:p>
    <w:p w14:paraId="5CDB40DD" w14:textId="77777777" w:rsidR="009C5AB4" w:rsidRDefault="009C5AB4" w:rsidP="009C5AB4">
      <w:pPr>
        <w:rPr>
          <w:rFonts w:cs="Calibri"/>
          <w:szCs w:val="18"/>
        </w:rPr>
      </w:pPr>
      <w:r>
        <w:rPr>
          <w:rFonts w:cs="Calibri"/>
          <w:szCs w:val="18"/>
        </w:rPr>
        <w:t>Zásoby</w:t>
      </w:r>
    </w:p>
    <w:p w14:paraId="62543C2B" w14:textId="77777777" w:rsidR="009C5AB4" w:rsidRDefault="009C5AB4" w:rsidP="009C5AB4">
      <w:pPr>
        <w:pStyle w:val="Odstavecseseznamem"/>
        <w:numPr>
          <w:ilvl w:val="0"/>
          <w:numId w:val="6"/>
        </w:numPr>
        <w:contextualSpacing w:val="0"/>
        <w:jc w:val="left"/>
        <w:rPr>
          <w:rFonts w:cs="Calibri"/>
          <w:szCs w:val="18"/>
        </w:rPr>
      </w:pPr>
      <w:r>
        <w:rPr>
          <w:rFonts w:cs="Calibri"/>
          <w:sz w:val="18"/>
          <w:szCs w:val="18"/>
        </w:rPr>
        <w:t>Položkový seznam zásob</w:t>
      </w:r>
    </w:p>
    <w:p w14:paraId="54952E50" w14:textId="77777777" w:rsidR="009C5AB4" w:rsidRDefault="009C5AB4" w:rsidP="009C5AB4">
      <w:pPr>
        <w:rPr>
          <w:rFonts w:cs="Calibri"/>
          <w:szCs w:val="18"/>
        </w:rPr>
      </w:pPr>
      <w:r>
        <w:rPr>
          <w:rFonts w:cs="Calibri"/>
          <w:szCs w:val="18"/>
        </w:rPr>
        <w:t>Závazky</w:t>
      </w:r>
    </w:p>
    <w:p w14:paraId="7A1E9417" w14:textId="77777777" w:rsidR="009C5AB4" w:rsidRDefault="009C5AB4" w:rsidP="009C5AB4">
      <w:pPr>
        <w:pStyle w:val="Odstavecseseznamem"/>
        <w:numPr>
          <w:ilvl w:val="0"/>
          <w:numId w:val="11"/>
        </w:numPr>
        <w:contextualSpacing w:val="0"/>
        <w:jc w:val="left"/>
        <w:rPr>
          <w:rFonts w:cs="Calibri"/>
          <w:sz w:val="18"/>
          <w:szCs w:val="18"/>
        </w:rPr>
      </w:pPr>
      <w:r>
        <w:rPr>
          <w:rFonts w:cs="Calibri"/>
          <w:sz w:val="18"/>
          <w:szCs w:val="18"/>
        </w:rPr>
        <w:t>Seznam probíhajících soudních sporů</w:t>
      </w:r>
    </w:p>
    <w:p w14:paraId="02243F2E" w14:textId="77777777" w:rsidR="009C5AB4" w:rsidRDefault="009C5AB4" w:rsidP="009C5AB4">
      <w:pPr>
        <w:pStyle w:val="Odstavecseseznamem"/>
        <w:numPr>
          <w:ilvl w:val="0"/>
          <w:numId w:val="11"/>
        </w:numPr>
        <w:contextualSpacing w:val="0"/>
        <w:jc w:val="left"/>
        <w:rPr>
          <w:rFonts w:cs="Calibri"/>
          <w:sz w:val="18"/>
          <w:szCs w:val="18"/>
        </w:rPr>
      </w:pPr>
      <w:r>
        <w:rPr>
          <w:rFonts w:cs="Calibri"/>
          <w:sz w:val="18"/>
          <w:szCs w:val="18"/>
        </w:rPr>
        <w:t>Saldokonto závazků odsouhlasené na hlavní knihu</w:t>
      </w:r>
    </w:p>
    <w:p w14:paraId="43986EE6" w14:textId="77777777" w:rsidR="009C5AB4" w:rsidRDefault="009C5AB4" w:rsidP="009C5AB4">
      <w:pPr>
        <w:pStyle w:val="Odstavecseseznamem"/>
        <w:numPr>
          <w:ilvl w:val="0"/>
          <w:numId w:val="11"/>
        </w:numPr>
        <w:contextualSpacing w:val="0"/>
        <w:jc w:val="left"/>
        <w:rPr>
          <w:rFonts w:cs="Calibri"/>
          <w:sz w:val="18"/>
          <w:szCs w:val="18"/>
        </w:rPr>
      </w:pPr>
      <w:r>
        <w:rPr>
          <w:rFonts w:cs="Calibri"/>
          <w:sz w:val="18"/>
          <w:szCs w:val="18"/>
        </w:rPr>
        <w:t>Věková struktura závazků – závazky po splatnosti</w:t>
      </w:r>
    </w:p>
    <w:p w14:paraId="49E34752" w14:textId="77777777" w:rsidR="009C5AB4" w:rsidRDefault="009C5AB4" w:rsidP="009C5AB4">
      <w:pPr>
        <w:pStyle w:val="Odstavecseseznamem"/>
        <w:numPr>
          <w:ilvl w:val="0"/>
          <w:numId w:val="11"/>
        </w:numPr>
        <w:contextualSpacing w:val="0"/>
        <w:jc w:val="left"/>
        <w:rPr>
          <w:rFonts w:cs="Calibri"/>
          <w:sz w:val="18"/>
          <w:szCs w:val="18"/>
        </w:rPr>
      </w:pPr>
      <w:r>
        <w:rPr>
          <w:rFonts w:cs="Calibri"/>
          <w:sz w:val="18"/>
          <w:szCs w:val="18"/>
        </w:rPr>
        <w:t>Přírůstky a úbytky dlouhodobých závazků</w:t>
      </w:r>
    </w:p>
    <w:p w14:paraId="2F33F67F" w14:textId="77777777" w:rsidR="009C5AB4" w:rsidRDefault="009C5AB4" w:rsidP="009C5AB4">
      <w:pPr>
        <w:pStyle w:val="Odstavecseseznamem"/>
        <w:numPr>
          <w:ilvl w:val="0"/>
          <w:numId w:val="11"/>
        </w:numPr>
        <w:contextualSpacing w:val="0"/>
        <w:jc w:val="left"/>
        <w:rPr>
          <w:rFonts w:cs="Calibri"/>
          <w:sz w:val="18"/>
          <w:szCs w:val="18"/>
        </w:rPr>
      </w:pPr>
      <w:r>
        <w:rPr>
          <w:rFonts w:cs="Calibri"/>
          <w:sz w:val="18"/>
          <w:szCs w:val="18"/>
        </w:rPr>
        <w:t>Dodavatelské faktury</w:t>
      </w:r>
    </w:p>
    <w:p w14:paraId="77843A94" w14:textId="77777777" w:rsidR="009C5AB4" w:rsidRDefault="009C5AB4" w:rsidP="009C5AB4">
      <w:pPr>
        <w:pStyle w:val="Odstavecseseznamem"/>
        <w:numPr>
          <w:ilvl w:val="0"/>
          <w:numId w:val="11"/>
        </w:numPr>
        <w:contextualSpacing w:val="0"/>
        <w:jc w:val="left"/>
        <w:rPr>
          <w:rFonts w:cs="Calibri"/>
          <w:sz w:val="18"/>
          <w:szCs w:val="18"/>
        </w:rPr>
      </w:pPr>
      <w:r>
        <w:rPr>
          <w:rFonts w:cs="Calibri"/>
          <w:sz w:val="18"/>
          <w:szCs w:val="18"/>
        </w:rPr>
        <w:t>Kniha došlých, resp. dodavatelských faktur</w:t>
      </w:r>
    </w:p>
    <w:p w14:paraId="26C834CE" w14:textId="77777777" w:rsidR="009C5AB4" w:rsidRDefault="009C5AB4" w:rsidP="009C5AB4">
      <w:pPr>
        <w:pStyle w:val="Odstavecseseznamem"/>
        <w:numPr>
          <w:ilvl w:val="0"/>
          <w:numId w:val="11"/>
        </w:numPr>
        <w:contextualSpacing w:val="0"/>
        <w:jc w:val="left"/>
        <w:rPr>
          <w:rFonts w:cs="Calibri"/>
          <w:sz w:val="18"/>
          <w:szCs w:val="18"/>
        </w:rPr>
      </w:pPr>
      <w:r>
        <w:rPr>
          <w:rFonts w:cs="Calibri"/>
          <w:sz w:val="18"/>
          <w:szCs w:val="18"/>
        </w:rPr>
        <w:t>Objednávky</w:t>
      </w:r>
    </w:p>
    <w:p w14:paraId="699E922F" w14:textId="77777777" w:rsidR="009C5AB4" w:rsidRDefault="009C5AB4" w:rsidP="009C5AB4">
      <w:pPr>
        <w:pStyle w:val="Odstavecseseznamem"/>
        <w:numPr>
          <w:ilvl w:val="0"/>
          <w:numId w:val="11"/>
        </w:numPr>
        <w:contextualSpacing w:val="0"/>
        <w:jc w:val="left"/>
        <w:rPr>
          <w:rFonts w:cs="Calibri"/>
          <w:sz w:val="18"/>
          <w:szCs w:val="18"/>
        </w:rPr>
      </w:pPr>
      <w:r>
        <w:rPr>
          <w:rFonts w:cs="Calibri"/>
          <w:sz w:val="18"/>
          <w:szCs w:val="18"/>
        </w:rPr>
        <w:lastRenderedPageBreak/>
        <w:t>Mzdová agenda (např. rekapitulace mezd, mzdové listy)</w:t>
      </w:r>
    </w:p>
    <w:p w14:paraId="035AFCA1" w14:textId="77777777" w:rsidR="009C5AB4" w:rsidRPr="00DF2F28" w:rsidRDefault="009C5AB4" w:rsidP="009C5AB4">
      <w:pPr>
        <w:pStyle w:val="Odstavecseseznamem"/>
        <w:numPr>
          <w:ilvl w:val="0"/>
          <w:numId w:val="11"/>
        </w:numPr>
        <w:contextualSpacing w:val="0"/>
        <w:jc w:val="left"/>
        <w:rPr>
          <w:rFonts w:cs="Calibri"/>
          <w:szCs w:val="18"/>
        </w:rPr>
      </w:pPr>
      <w:r>
        <w:rPr>
          <w:rFonts w:cs="Calibri"/>
          <w:sz w:val="18"/>
          <w:szCs w:val="18"/>
        </w:rPr>
        <w:t>Odměňování členů zastupitelstva</w:t>
      </w:r>
    </w:p>
    <w:p w14:paraId="549A6103" w14:textId="77777777" w:rsidR="009C5AB4" w:rsidRPr="00F53049" w:rsidRDefault="009C5AB4" w:rsidP="009C5AB4">
      <w:pPr>
        <w:pStyle w:val="Odstavecseseznamem"/>
        <w:numPr>
          <w:ilvl w:val="0"/>
          <w:numId w:val="11"/>
        </w:numPr>
        <w:jc w:val="left"/>
        <w:rPr>
          <w:rFonts w:cs="Calibri"/>
          <w:sz w:val="18"/>
          <w:szCs w:val="18"/>
        </w:rPr>
      </w:pPr>
      <w:r w:rsidRPr="00F53049">
        <w:rPr>
          <w:rFonts w:cs="Calibri"/>
          <w:sz w:val="18"/>
          <w:szCs w:val="18"/>
        </w:rPr>
        <w:t xml:space="preserve">Kontrolované doklady: </w:t>
      </w:r>
      <w:r>
        <w:rPr>
          <w:rFonts w:cs="Calibri"/>
          <w:sz w:val="18"/>
          <w:szCs w:val="18"/>
        </w:rPr>
        <w:t xml:space="preserve">doklad č. </w:t>
      </w:r>
      <w:r w:rsidRPr="00F53049">
        <w:rPr>
          <w:rFonts w:cs="Calibri"/>
          <w:sz w:val="18"/>
          <w:szCs w:val="18"/>
        </w:rPr>
        <w:t>2491000006 ze dne 09.01.2024, 2491000034 ze dne 19.01.2024, 2491000040 ze dne 30.01.2024, 2491000043 ze dne 01.02.2024, 2491000049 ze dne 17.02.2024, 2491000051 ze dne 15.02.2024, 2491000055 ze dne 19.02.2024, 2491000063 ze dne 03.03.2024, 2491000066 ze dne 11.03.2024, 2491000078 ze dne 13.04.2024, 2491000082 ze dne 22.04.2024, 2491000083 ze dne 30.04.2024, 2491000086 ze dne 28.03.2024, 2491000109 ze dne 03.06.2024, 2491000123 ze dne 10.06.2024, 2491000124 ze dne 10.06.2024, 2491000129 ze dne 21.06.2024, 2491000146 ze dne 06.07.2024, 2491000147 ze dne 29.07.2024, 2491000156 ze dne 13.08.2024, 2491000040 ze dne 30.01.2024, 2491000043 ze dne 01.02.2024, 2491000049 ze dne 17.02.2024, 2491000051 ze dne 15.02.2024, 2491000055 ze dne 19.02.2024, 2491000063 ze dne 03.03.2024, 2491000066 ze dne 11.03.2024, 2491000078 ze dne 13.04.2024, 2491000082 ze dne 22.04.2024, 2491000083 ze dne 30.04.2024, 2491000086 ze dne 28.03.2024, 2491000109 ze dne 03.06.2024, 2491000123 ze dne 10.06.2024, 2491000124 ze dne 10.06.2024, 2491000129 ze dne 21.06.2024, 2491000146 ze dne 06.07.2024, 2491000147 ze dne 29.07.2024, 2491000156 ze dne 13.08.2024</w:t>
      </w:r>
    </w:p>
    <w:p w14:paraId="41889698" w14:textId="77777777" w:rsidR="009C5AB4" w:rsidRDefault="009C5AB4" w:rsidP="009C5AB4">
      <w:pPr>
        <w:rPr>
          <w:rFonts w:cs="Calibri"/>
          <w:szCs w:val="18"/>
        </w:rPr>
      </w:pPr>
      <w:r>
        <w:rPr>
          <w:rFonts w:cs="Calibri"/>
          <w:szCs w:val="18"/>
        </w:rPr>
        <w:t>Jmění</w:t>
      </w:r>
    </w:p>
    <w:p w14:paraId="30060B47" w14:textId="77777777" w:rsidR="009C5AB4" w:rsidRDefault="009C5AB4" w:rsidP="009C5AB4">
      <w:pPr>
        <w:pStyle w:val="Odstavecseseznamem"/>
        <w:numPr>
          <w:ilvl w:val="0"/>
          <w:numId w:val="23"/>
        </w:numPr>
        <w:contextualSpacing w:val="0"/>
        <w:jc w:val="left"/>
        <w:rPr>
          <w:rFonts w:cs="Calibri"/>
          <w:sz w:val="18"/>
          <w:szCs w:val="18"/>
        </w:rPr>
      </w:pPr>
      <w:r>
        <w:rPr>
          <w:rFonts w:cs="Calibri"/>
          <w:sz w:val="18"/>
          <w:szCs w:val="18"/>
        </w:rPr>
        <w:t>Rozpis přírůstků a úbytků jednotlivých účtů</w:t>
      </w:r>
    </w:p>
    <w:p w14:paraId="72EB7643" w14:textId="77777777" w:rsidR="009C5AB4" w:rsidRDefault="009C5AB4" w:rsidP="009C5AB4">
      <w:pPr>
        <w:pStyle w:val="Odstavecseseznamem"/>
        <w:numPr>
          <w:ilvl w:val="0"/>
          <w:numId w:val="23"/>
        </w:numPr>
        <w:contextualSpacing w:val="0"/>
        <w:jc w:val="left"/>
        <w:rPr>
          <w:rFonts w:cs="Calibri"/>
          <w:szCs w:val="18"/>
        </w:rPr>
      </w:pPr>
      <w:r>
        <w:rPr>
          <w:rFonts w:cs="Calibri"/>
          <w:sz w:val="18"/>
          <w:szCs w:val="18"/>
        </w:rPr>
        <w:t>Jiné oceňovací rozdíly – ocenění reálnou hodnotou</w:t>
      </w:r>
    </w:p>
    <w:p w14:paraId="4E24CF84" w14:textId="77777777" w:rsidR="009C5AB4" w:rsidRDefault="009C5AB4" w:rsidP="009C5AB4">
      <w:pPr>
        <w:rPr>
          <w:rFonts w:cs="Calibri"/>
          <w:szCs w:val="18"/>
        </w:rPr>
      </w:pPr>
      <w:r>
        <w:rPr>
          <w:rFonts w:cs="Calibri"/>
          <w:szCs w:val="18"/>
        </w:rPr>
        <w:t>Fondy</w:t>
      </w:r>
    </w:p>
    <w:p w14:paraId="7539D96F" w14:textId="77777777" w:rsidR="009C5AB4" w:rsidRDefault="009C5AB4" w:rsidP="009C5AB4">
      <w:pPr>
        <w:pStyle w:val="Odstavecseseznamem"/>
        <w:numPr>
          <w:ilvl w:val="0"/>
          <w:numId w:val="4"/>
        </w:numPr>
        <w:contextualSpacing w:val="0"/>
        <w:jc w:val="left"/>
        <w:rPr>
          <w:rFonts w:cs="Calibri"/>
          <w:sz w:val="18"/>
          <w:szCs w:val="18"/>
        </w:rPr>
      </w:pPr>
      <w:r>
        <w:rPr>
          <w:rFonts w:cs="Calibri"/>
          <w:sz w:val="18"/>
          <w:szCs w:val="18"/>
        </w:rPr>
        <w:t>Pravidla tvorby a čerpání, statuty fondů</w:t>
      </w:r>
    </w:p>
    <w:p w14:paraId="47577966" w14:textId="77777777" w:rsidR="009C5AB4" w:rsidRDefault="009C5AB4" w:rsidP="009C5AB4">
      <w:pPr>
        <w:pStyle w:val="Odstavecseseznamem"/>
        <w:numPr>
          <w:ilvl w:val="0"/>
          <w:numId w:val="4"/>
        </w:numPr>
        <w:contextualSpacing w:val="0"/>
        <w:jc w:val="left"/>
        <w:rPr>
          <w:rFonts w:cs="Calibri"/>
          <w:szCs w:val="18"/>
        </w:rPr>
      </w:pPr>
      <w:r>
        <w:rPr>
          <w:rFonts w:cs="Calibri"/>
          <w:sz w:val="18"/>
          <w:szCs w:val="18"/>
        </w:rPr>
        <w:t>Rozpočty fondů, přírůstky a úbytky</w:t>
      </w:r>
    </w:p>
    <w:p w14:paraId="01D9247C" w14:textId="77777777" w:rsidR="009C5AB4" w:rsidRDefault="009C5AB4" w:rsidP="009C5AB4">
      <w:pPr>
        <w:rPr>
          <w:rFonts w:cs="Calibri"/>
          <w:szCs w:val="18"/>
        </w:rPr>
      </w:pPr>
      <w:r>
        <w:rPr>
          <w:rFonts w:cs="Calibri"/>
          <w:szCs w:val="18"/>
        </w:rPr>
        <w:t xml:space="preserve">Výsledek hospodaření </w:t>
      </w:r>
    </w:p>
    <w:p w14:paraId="02596824" w14:textId="77777777" w:rsidR="009C5AB4" w:rsidRDefault="009C5AB4" w:rsidP="009C5AB4">
      <w:pPr>
        <w:pStyle w:val="Odstavecseseznamem"/>
        <w:numPr>
          <w:ilvl w:val="0"/>
          <w:numId w:val="17"/>
        </w:numPr>
        <w:contextualSpacing w:val="0"/>
        <w:jc w:val="left"/>
        <w:rPr>
          <w:rFonts w:cs="Calibri"/>
          <w:sz w:val="18"/>
          <w:szCs w:val="18"/>
        </w:rPr>
      </w:pPr>
      <w:r>
        <w:rPr>
          <w:rFonts w:cs="Calibri"/>
          <w:sz w:val="18"/>
          <w:szCs w:val="18"/>
        </w:rPr>
        <w:t>Usnesení zastupitelstva – schválení účetní závěrky a hospodářského výsledku za předcházející účetní období</w:t>
      </w:r>
    </w:p>
    <w:p w14:paraId="3AFCDE4F" w14:textId="77777777" w:rsidR="009C5AB4" w:rsidRDefault="009C5AB4" w:rsidP="009C5AB4">
      <w:pPr>
        <w:pStyle w:val="Odstavecseseznamem"/>
        <w:numPr>
          <w:ilvl w:val="0"/>
          <w:numId w:val="17"/>
        </w:numPr>
        <w:contextualSpacing w:val="0"/>
        <w:jc w:val="left"/>
        <w:rPr>
          <w:rFonts w:cs="Calibri"/>
          <w:sz w:val="18"/>
          <w:szCs w:val="18"/>
        </w:rPr>
      </w:pPr>
      <w:r>
        <w:rPr>
          <w:rFonts w:cs="Calibri"/>
          <w:sz w:val="18"/>
          <w:szCs w:val="18"/>
        </w:rPr>
        <w:t>Odsouhlasení hospodářského výsledku na výkaz zisku a ztráty</w:t>
      </w:r>
    </w:p>
    <w:p w14:paraId="11E95424" w14:textId="77777777" w:rsidR="009C5AB4" w:rsidRDefault="009C5AB4" w:rsidP="009C5AB4">
      <w:pPr>
        <w:rPr>
          <w:rFonts w:cs="Calibri"/>
          <w:szCs w:val="18"/>
        </w:rPr>
      </w:pPr>
      <w:r>
        <w:rPr>
          <w:rFonts w:cs="Calibri"/>
          <w:szCs w:val="18"/>
        </w:rPr>
        <w:t>Smlouvy</w:t>
      </w:r>
    </w:p>
    <w:p w14:paraId="3F4D93F0"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Smlouvy a další materiály k poskytnutým účelovým dotacím</w:t>
      </w:r>
    </w:p>
    <w:p w14:paraId="1E313422"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Evidence smluv</w:t>
      </w:r>
    </w:p>
    <w:p w14:paraId="60A9BCF0"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Darovací smlouvy</w:t>
      </w:r>
    </w:p>
    <w:p w14:paraId="6AC2330E"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Smlouvy nájemní</w:t>
      </w:r>
    </w:p>
    <w:p w14:paraId="372D8132"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Smlouvy o dílo</w:t>
      </w:r>
    </w:p>
    <w:p w14:paraId="67C21E39"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Smlouvy o převodu majetku (koupě, prodej, směna)</w:t>
      </w:r>
    </w:p>
    <w:p w14:paraId="1D0E605A"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Smlouvy o půjčce</w:t>
      </w:r>
    </w:p>
    <w:p w14:paraId="4B9328E6"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Smlouvy o zřízení věcného břemene</w:t>
      </w:r>
    </w:p>
    <w:p w14:paraId="6794CEFA"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Smlouvy o výpůjčce</w:t>
      </w:r>
    </w:p>
    <w:p w14:paraId="52D53B57"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Smlouvy zástavní</w:t>
      </w:r>
    </w:p>
    <w:p w14:paraId="59524F5F"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Smlouvy o smlouvě budoucí</w:t>
      </w:r>
    </w:p>
    <w:p w14:paraId="45BBD663"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lastRenderedPageBreak/>
        <w:t>Zveřejněné záměry související s nakládáním s majetkem</w:t>
      </w:r>
    </w:p>
    <w:p w14:paraId="521C7CDD" w14:textId="77777777" w:rsidR="009C5AB4" w:rsidRDefault="009C5AB4" w:rsidP="009C5AB4">
      <w:pPr>
        <w:pStyle w:val="Odstavecseseznamem"/>
        <w:numPr>
          <w:ilvl w:val="0"/>
          <w:numId w:val="20"/>
        </w:numPr>
        <w:contextualSpacing w:val="0"/>
        <w:jc w:val="left"/>
        <w:rPr>
          <w:rFonts w:cs="Calibri"/>
          <w:sz w:val="18"/>
          <w:szCs w:val="18"/>
        </w:rPr>
      </w:pPr>
      <w:r>
        <w:rPr>
          <w:rFonts w:cs="Calibri"/>
          <w:sz w:val="18"/>
          <w:szCs w:val="18"/>
        </w:rPr>
        <w:t>Smlouvy úvěrové</w:t>
      </w:r>
    </w:p>
    <w:p w14:paraId="29EF0F84" w14:textId="77777777" w:rsidR="009C5AB4" w:rsidRDefault="009C5AB4" w:rsidP="009C5AB4">
      <w:pPr>
        <w:pStyle w:val="Odstavecseseznamem"/>
        <w:numPr>
          <w:ilvl w:val="0"/>
          <w:numId w:val="20"/>
        </w:numPr>
        <w:contextualSpacing w:val="0"/>
        <w:jc w:val="left"/>
        <w:rPr>
          <w:rFonts w:cs="Calibri"/>
          <w:szCs w:val="18"/>
        </w:rPr>
      </w:pPr>
      <w:r>
        <w:rPr>
          <w:rFonts w:cs="Calibri"/>
          <w:sz w:val="18"/>
          <w:szCs w:val="18"/>
        </w:rPr>
        <w:t>Smlouvy pojistné</w:t>
      </w:r>
    </w:p>
    <w:p w14:paraId="5332FDA3" w14:textId="77777777" w:rsidR="009C5AB4" w:rsidRDefault="009C5AB4" w:rsidP="009C5AB4">
      <w:pPr>
        <w:rPr>
          <w:rFonts w:cs="Calibri"/>
          <w:szCs w:val="18"/>
        </w:rPr>
      </w:pPr>
      <w:r>
        <w:rPr>
          <w:rFonts w:cs="Calibri"/>
          <w:szCs w:val="18"/>
        </w:rPr>
        <w:t>Rozpočet</w:t>
      </w:r>
    </w:p>
    <w:p w14:paraId="66394961" w14:textId="77777777" w:rsidR="009C5AB4" w:rsidRDefault="009C5AB4" w:rsidP="009C5AB4">
      <w:pPr>
        <w:pStyle w:val="Odstavecseseznamem"/>
        <w:numPr>
          <w:ilvl w:val="0"/>
          <w:numId w:val="2"/>
        </w:numPr>
        <w:contextualSpacing w:val="0"/>
        <w:jc w:val="left"/>
        <w:rPr>
          <w:rFonts w:cs="Calibri"/>
          <w:sz w:val="18"/>
          <w:szCs w:val="18"/>
        </w:rPr>
      </w:pPr>
      <w:r>
        <w:rPr>
          <w:rFonts w:cs="Calibri"/>
          <w:sz w:val="18"/>
          <w:szCs w:val="18"/>
        </w:rPr>
        <w:t>Návrh rozpočtu (včetně informace o jeho zveřejnění na úřední desce a způsobem umožňujícím dálkový přístup)</w:t>
      </w:r>
    </w:p>
    <w:p w14:paraId="3EC0EF0C" w14:textId="77777777" w:rsidR="009C5AB4" w:rsidRDefault="009C5AB4" w:rsidP="009C5AB4">
      <w:pPr>
        <w:pStyle w:val="Odstavecseseznamem"/>
        <w:numPr>
          <w:ilvl w:val="0"/>
          <w:numId w:val="2"/>
        </w:numPr>
        <w:contextualSpacing w:val="0"/>
        <w:jc w:val="left"/>
        <w:rPr>
          <w:rFonts w:cs="Calibri"/>
          <w:sz w:val="18"/>
          <w:szCs w:val="18"/>
        </w:rPr>
      </w:pPr>
      <w:r>
        <w:rPr>
          <w:rFonts w:cs="Calibri"/>
          <w:sz w:val="18"/>
          <w:szCs w:val="18"/>
        </w:rPr>
        <w:t xml:space="preserve">Pravidla rozpočtového provizoria </w:t>
      </w:r>
    </w:p>
    <w:p w14:paraId="0A9F6CEA" w14:textId="77777777" w:rsidR="009C5AB4" w:rsidRDefault="009C5AB4" w:rsidP="009C5AB4">
      <w:pPr>
        <w:pStyle w:val="Odstavecseseznamem"/>
        <w:numPr>
          <w:ilvl w:val="0"/>
          <w:numId w:val="2"/>
        </w:numPr>
        <w:contextualSpacing w:val="0"/>
        <w:jc w:val="left"/>
        <w:rPr>
          <w:rFonts w:cs="Calibri"/>
          <w:sz w:val="18"/>
          <w:szCs w:val="18"/>
        </w:rPr>
      </w:pPr>
      <w:r>
        <w:rPr>
          <w:rFonts w:cs="Calibri"/>
          <w:sz w:val="18"/>
          <w:szCs w:val="18"/>
        </w:rPr>
        <w:t>Schválený rozpočet včetně jeho rozpisu podle rozpočtové skladby</w:t>
      </w:r>
    </w:p>
    <w:p w14:paraId="21220069" w14:textId="77777777" w:rsidR="009C5AB4" w:rsidRDefault="009C5AB4" w:rsidP="009C5AB4">
      <w:pPr>
        <w:pStyle w:val="Odstavecseseznamem"/>
        <w:numPr>
          <w:ilvl w:val="0"/>
          <w:numId w:val="2"/>
        </w:numPr>
        <w:contextualSpacing w:val="0"/>
        <w:jc w:val="left"/>
        <w:rPr>
          <w:rFonts w:cs="Calibri"/>
          <w:sz w:val="18"/>
          <w:szCs w:val="18"/>
          <w:lang w:val="cs-CZ"/>
        </w:rPr>
      </w:pPr>
      <w:r>
        <w:rPr>
          <w:rFonts w:cs="Calibri"/>
          <w:sz w:val="18"/>
          <w:szCs w:val="18"/>
        </w:rPr>
        <w:t>Schválení závazných ukazatelů subjektům, které jsou povinny se jimi řídit</w:t>
      </w:r>
    </w:p>
    <w:p w14:paraId="307686D9" w14:textId="77777777" w:rsidR="009C5AB4" w:rsidRDefault="009C5AB4" w:rsidP="009C5AB4">
      <w:pPr>
        <w:pStyle w:val="Odstavecseseznamem"/>
        <w:numPr>
          <w:ilvl w:val="0"/>
          <w:numId w:val="2"/>
        </w:numPr>
        <w:contextualSpacing w:val="0"/>
        <w:jc w:val="left"/>
        <w:rPr>
          <w:rFonts w:cs="Calibri"/>
          <w:sz w:val="18"/>
          <w:szCs w:val="18"/>
        </w:rPr>
      </w:pPr>
      <w:r>
        <w:rPr>
          <w:rFonts w:cs="Calibri"/>
          <w:sz w:val="18"/>
          <w:szCs w:val="18"/>
          <w:lang w:val="cs-CZ"/>
        </w:rPr>
        <w:t>Střednědobý</w:t>
      </w:r>
      <w:r>
        <w:rPr>
          <w:rFonts w:cs="Calibri"/>
          <w:sz w:val="18"/>
          <w:szCs w:val="18"/>
        </w:rPr>
        <w:t xml:space="preserve"> rozpočtový výhled</w:t>
      </w:r>
    </w:p>
    <w:p w14:paraId="4E201058" w14:textId="77777777" w:rsidR="009C5AB4" w:rsidRDefault="009C5AB4" w:rsidP="009C5AB4">
      <w:pPr>
        <w:pStyle w:val="Odstavecseseznamem"/>
        <w:numPr>
          <w:ilvl w:val="0"/>
          <w:numId w:val="2"/>
        </w:numPr>
        <w:contextualSpacing w:val="0"/>
        <w:jc w:val="left"/>
        <w:rPr>
          <w:rFonts w:cs="Calibri"/>
          <w:sz w:val="18"/>
          <w:szCs w:val="18"/>
        </w:rPr>
      </w:pPr>
      <w:r>
        <w:rPr>
          <w:rFonts w:cs="Calibri"/>
          <w:sz w:val="18"/>
          <w:szCs w:val="18"/>
        </w:rPr>
        <w:t>Rozpočtová opatření včetně usnesení dle příslušných orgánů</w:t>
      </w:r>
    </w:p>
    <w:p w14:paraId="3F1FCDD2" w14:textId="77777777" w:rsidR="009C5AB4" w:rsidRDefault="009C5AB4" w:rsidP="009C5AB4">
      <w:pPr>
        <w:pStyle w:val="Odstavecseseznamem"/>
        <w:numPr>
          <w:ilvl w:val="0"/>
          <w:numId w:val="2"/>
        </w:numPr>
        <w:contextualSpacing w:val="0"/>
        <w:jc w:val="left"/>
        <w:rPr>
          <w:rFonts w:cs="Calibri"/>
          <w:sz w:val="18"/>
          <w:szCs w:val="18"/>
        </w:rPr>
      </w:pPr>
      <w:r>
        <w:rPr>
          <w:rFonts w:cs="Calibri"/>
          <w:sz w:val="18"/>
          <w:szCs w:val="18"/>
        </w:rPr>
        <w:t>Závěrečný účet za předchozí rozpočtový rok (závěrečný účet, zpráva o výsledku přezkoumání hospodaření, usnesení zastupitelstva aj.) včetně informace o zveřejnění závěrečného účtu na úřední desce a způsobem umožňující dálkový přístup</w:t>
      </w:r>
    </w:p>
    <w:p w14:paraId="4227C090" w14:textId="77777777" w:rsidR="009C5AB4" w:rsidRDefault="009C5AB4" w:rsidP="009C5AB4">
      <w:pPr>
        <w:pStyle w:val="Odstavecseseznamem"/>
        <w:numPr>
          <w:ilvl w:val="0"/>
          <w:numId w:val="2"/>
        </w:numPr>
        <w:contextualSpacing w:val="0"/>
        <w:jc w:val="left"/>
        <w:rPr>
          <w:rFonts w:cs="Calibri"/>
          <w:szCs w:val="18"/>
        </w:rPr>
      </w:pPr>
      <w:r>
        <w:rPr>
          <w:rFonts w:cs="Calibri"/>
          <w:sz w:val="18"/>
          <w:szCs w:val="18"/>
        </w:rPr>
        <w:t>Finanční vypořádání za přezkoumávané období</w:t>
      </w:r>
    </w:p>
    <w:p w14:paraId="0A1334E6" w14:textId="77777777" w:rsidR="009C5AB4" w:rsidRDefault="009C5AB4" w:rsidP="009C5AB4">
      <w:pPr>
        <w:rPr>
          <w:rFonts w:cs="Calibri"/>
          <w:szCs w:val="18"/>
        </w:rPr>
      </w:pPr>
      <w:r>
        <w:rPr>
          <w:rFonts w:cs="Calibri"/>
          <w:szCs w:val="18"/>
        </w:rPr>
        <w:t>Veřejné zakázky</w:t>
      </w:r>
    </w:p>
    <w:p w14:paraId="1DE11434" w14:textId="77777777" w:rsidR="009C5AB4" w:rsidRDefault="009C5AB4" w:rsidP="009C5AB4">
      <w:pPr>
        <w:pStyle w:val="Odstavecseseznamem"/>
        <w:numPr>
          <w:ilvl w:val="0"/>
          <w:numId w:val="15"/>
        </w:numPr>
        <w:contextualSpacing w:val="0"/>
        <w:jc w:val="left"/>
        <w:rPr>
          <w:rFonts w:cs="Calibri"/>
          <w:sz w:val="18"/>
          <w:szCs w:val="18"/>
        </w:rPr>
      </w:pPr>
      <w:r>
        <w:rPr>
          <w:rFonts w:cs="Calibri"/>
          <w:sz w:val="18"/>
          <w:szCs w:val="18"/>
        </w:rPr>
        <w:t>Přehled realizovaných veřejných zakázek v přezkoumávaném období, tj. výběrová řízení ukončená v průběhu přezkoumávaného období</w:t>
      </w:r>
    </w:p>
    <w:p w14:paraId="5ED0CEA7" w14:textId="77777777" w:rsidR="009C5AB4" w:rsidRPr="00547271" w:rsidRDefault="009C5AB4" w:rsidP="009C5AB4">
      <w:pPr>
        <w:pStyle w:val="Odstavecseseznamem"/>
        <w:numPr>
          <w:ilvl w:val="0"/>
          <w:numId w:val="15"/>
        </w:numPr>
        <w:contextualSpacing w:val="0"/>
        <w:jc w:val="left"/>
        <w:rPr>
          <w:rFonts w:cs="Calibri"/>
          <w:szCs w:val="18"/>
        </w:rPr>
      </w:pPr>
      <w:r>
        <w:rPr>
          <w:rFonts w:cs="Calibri"/>
          <w:sz w:val="18"/>
          <w:szCs w:val="18"/>
        </w:rPr>
        <w:t>Dokumentace k vybraným veřejným zakázkám</w:t>
      </w:r>
    </w:p>
    <w:p w14:paraId="0B94CC9D" w14:textId="77777777" w:rsidR="009C5AB4" w:rsidRPr="0053479F" w:rsidRDefault="009C5AB4" w:rsidP="009C5AB4">
      <w:pPr>
        <w:pStyle w:val="Odstavecseseznamem"/>
        <w:numPr>
          <w:ilvl w:val="0"/>
          <w:numId w:val="15"/>
        </w:numPr>
        <w:jc w:val="left"/>
        <w:rPr>
          <w:rFonts w:cs="Calibri"/>
          <w:sz w:val="18"/>
          <w:szCs w:val="18"/>
        </w:rPr>
      </w:pPr>
      <w:r w:rsidRPr="0053479F">
        <w:rPr>
          <w:rFonts w:cs="Calibri"/>
          <w:sz w:val="18"/>
          <w:szCs w:val="18"/>
        </w:rPr>
        <w:t>Kontrolované veřejné zakázky: Sanace dvorní fasády – ZŠ Vinořské náměstí, Stavba osobního výtahu v bytovém domě ul. Mladoboleslavská 514, Praha-Vinoř, Park před hřbitovem</w:t>
      </w:r>
    </w:p>
    <w:p w14:paraId="667A64BF" w14:textId="77777777" w:rsidR="009C5AB4" w:rsidRDefault="009C5AB4" w:rsidP="009C5AB4">
      <w:pPr>
        <w:rPr>
          <w:rFonts w:cs="Calibri"/>
          <w:szCs w:val="18"/>
        </w:rPr>
      </w:pPr>
      <w:r>
        <w:rPr>
          <w:rFonts w:cs="Calibri"/>
          <w:szCs w:val="18"/>
        </w:rPr>
        <w:t>Ostatní</w:t>
      </w:r>
    </w:p>
    <w:p w14:paraId="0077D8B2" w14:textId="77777777" w:rsidR="009C5AB4" w:rsidRDefault="009C5AB4" w:rsidP="009C5AB4">
      <w:pPr>
        <w:pStyle w:val="Odstavecseseznamem"/>
        <w:numPr>
          <w:ilvl w:val="0"/>
          <w:numId w:val="7"/>
        </w:numPr>
        <w:contextualSpacing w:val="0"/>
        <w:jc w:val="left"/>
        <w:rPr>
          <w:rFonts w:cs="Calibri"/>
          <w:sz w:val="18"/>
          <w:szCs w:val="18"/>
        </w:rPr>
      </w:pPr>
      <w:r>
        <w:rPr>
          <w:rFonts w:cs="Calibri"/>
          <w:sz w:val="18"/>
          <w:szCs w:val="18"/>
        </w:rPr>
        <w:t>Usnesení zastupitelstva a rady</w:t>
      </w:r>
    </w:p>
    <w:p w14:paraId="10C0C7F5" w14:textId="77777777" w:rsidR="009C5AB4" w:rsidRDefault="009C5AB4" w:rsidP="009C5AB4">
      <w:pPr>
        <w:pStyle w:val="Odstavecseseznamem"/>
        <w:numPr>
          <w:ilvl w:val="0"/>
          <w:numId w:val="7"/>
        </w:numPr>
        <w:contextualSpacing w:val="0"/>
        <w:jc w:val="left"/>
        <w:rPr>
          <w:rFonts w:cs="Calibri"/>
          <w:sz w:val="18"/>
          <w:szCs w:val="18"/>
        </w:rPr>
      </w:pPr>
      <w:r>
        <w:rPr>
          <w:rFonts w:cs="Calibri"/>
          <w:sz w:val="18"/>
          <w:szCs w:val="18"/>
        </w:rPr>
        <w:t>Zápisy z jednání výborů zastupitelstva a komisí rady</w:t>
      </w:r>
    </w:p>
    <w:p w14:paraId="4EC3CAAF" w14:textId="77777777" w:rsidR="009C5AB4" w:rsidRDefault="009C5AB4" w:rsidP="009C5AB4">
      <w:pPr>
        <w:pStyle w:val="Odstavecseseznamem"/>
        <w:numPr>
          <w:ilvl w:val="0"/>
          <w:numId w:val="7"/>
        </w:numPr>
        <w:contextualSpacing w:val="0"/>
        <w:jc w:val="left"/>
        <w:rPr>
          <w:rFonts w:cs="Calibri"/>
          <w:sz w:val="18"/>
          <w:szCs w:val="18"/>
        </w:rPr>
      </w:pPr>
      <w:r>
        <w:rPr>
          <w:rFonts w:cs="Calibri"/>
          <w:sz w:val="18"/>
          <w:szCs w:val="18"/>
        </w:rPr>
        <w:t>Zprávy (protokoly) z kontrol uskutečněných interními a externími orgány v přezkoumávaném období, informace o přijatých opatřeních</w:t>
      </w:r>
    </w:p>
    <w:p w14:paraId="48438842" w14:textId="77777777" w:rsidR="009C5AB4" w:rsidRDefault="009C5AB4" w:rsidP="009C5AB4">
      <w:pPr>
        <w:pStyle w:val="Odstavecseseznamem"/>
        <w:numPr>
          <w:ilvl w:val="0"/>
          <w:numId w:val="7"/>
        </w:numPr>
        <w:contextualSpacing w:val="0"/>
        <w:jc w:val="left"/>
        <w:rPr>
          <w:rFonts w:cs="Calibri"/>
          <w:sz w:val="18"/>
          <w:szCs w:val="18"/>
        </w:rPr>
      </w:pPr>
      <w:r>
        <w:rPr>
          <w:rFonts w:cs="Calibri"/>
          <w:sz w:val="18"/>
          <w:szCs w:val="18"/>
        </w:rPr>
        <w:t>Výsledky kontrol zřízených organizací</w:t>
      </w:r>
    </w:p>
    <w:p w14:paraId="61CF24B1" w14:textId="77777777" w:rsidR="009C5AB4" w:rsidRDefault="009C5AB4" w:rsidP="009C5AB4">
      <w:pPr>
        <w:pStyle w:val="Odstavecseseznamem"/>
        <w:numPr>
          <w:ilvl w:val="0"/>
          <w:numId w:val="7"/>
        </w:numPr>
        <w:contextualSpacing w:val="0"/>
        <w:jc w:val="left"/>
        <w:rPr>
          <w:rFonts w:cs="Calibri"/>
          <w:szCs w:val="18"/>
        </w:rPr>
      </w:pPr>
      <w:r>
        <w:rPr>
          <w:rFonts w:cs="Calibri"/>
          <w:sz w:val="18"/>
          <w:szCs w:val="18"/>
        </w:rPr>
        <w:t>Vnitřní směrnice, pokyny, příkazy, příp. nařízení</w:t>
      </w:r>
    </w:p>
    <w:p w14:paraId="62BF7689" w14:textId="77777777" w:rsidR="009C5AB4" w:rsidRDefault="009C5AB4" w:rsidP="009C5AB4">
      <w:pPr>
        <w:rPr>
          <w:rFonts w:cs="Calibri"/>
          <w:szCs w:val="18"/>
        </w:rPr>
      </w:pPr>
      <w:r>
        <w:rPr>
          <w:rFonts w:cs="Calibri"/>
          <w:szCs w:val="18"/>
        </w:rPr>
        <w:t>Zřizované organizace</w:t>
      </w:r>
    </w:p>
    <w:p w14:paraId="6633569C" w14:textId="77777777" w:rsidR="009C5AB4" w:rsidRDefault="009C5AB4" w:rsidP="009C5AB4">
      <w:pPr>
        <w:pStyle w:val="Odstavecseseznamem"/>
        <w:numPr>
          <w:ilvl w:val="0"/>
          <w:numId w:val="21"/>
        </w:numPr>
        <w:contextualSpacing w:val="0"/>
        <w:jc w:val="left"/>
        <w:rPr>
          <w:rFonts w:cs="Calibri"/>
          <w:sz w:val="18"/>
          <w:szCs w:val="18"/>
        </w:rPr>
      </w:pPr>
      <w:r>
        <w:rPr>
          <w:rFonts w:cs="Calibri"/>
          <w:sz w:val="18"/>
          <w:szCs w:val="18"/>
        </w:rPr>
        <w:t xml:space="preserve">Zřizovací listiny příspěvkové organizace </w:t>
      </w:r>
    </w:p>
    <w:p w14:paraId="5A8E8DA4" w14:textId="77777777" w:rsidR="009C5AB4" w:rsidRDefault="009C5AB4" w:rsidP="009C5AB4">
      <w:pPr>
        <w:pStyle w:val="Odstavecseseznamem"/>
        <w:numPr>
          <w:ilvl w:val="0"/>
          <w:numId w:val="21"/>
        </w:numPr>
        <w:contextualSpacing w:val="0"/>
        <w:jc w:val="left"/>
        <w:rPr>
          <w:rFonts w:cs="Calibri"/>
          <w:sz w:val="18"/>
          <w:szCs w:val="18"/>
        </w:rPr>
      </w:pPr>
      <w:r>
        <w:rPr>
          <w:rFonts w:cs="Calibri"/>
          <w:sz w:val="18"/>
          <w:szCs w:val="18"/>
        </w:rPr>
        <w:t>Inventarizace</w:t>
      </w:r>
    </w:p>
    <w:p w14:paraId="29DCA6CB" w14:textId="77777777" w:rsidR="009C5AB4" w:rsidRDefault="009C5AB4" w:rsidP="009C5AB4">
      <w:pPr>
        <w:pStyle w:val="Odstavecseseznamem"/>
        <w:numPr>
          <w:ilvl w:val="0"/>
          <w:numId w:val="21"/>
        </w:numPr>
        <w:contextualSpacing w:val="0"/>
        <w:jc w:val="left"/>
        <w:rPr>
          <w:rFonts w:cs="Calibri"/>
          <w:szCs w:val="18"/>
        </w:rPr>
      </w:pPr>
      <w:r>
        <w:rPr>
          <w:rFonts w:cs="Calibri"/>
          <w:sz w:val="18"/>
          <w:szCs w:val="18"/>
        </w:rPr>
        <w:t>Návrh finančního vypořádání</w:t>
      </w:r>
    </w:p>
    <w:p w14:paraId="10F787E6" w14:textId="77777777" w:rsidR="009C5AB4" w:rsidRDefault="009C5AB4" w:rsidP="009C5AB4">
      <w:pPr>
        <w:rPr>
          <w:rFonts w:cs="Calibri"/>
          <w:szCs w:val="18"/>
        </w:rPr>
      </w:pPr>
      <w:r>
        <w:rPr>
          <w:rFonts w:cs="Calibri"/>
          <w:szCs w:val="18"/>
        </w:rPr>
        <w:t>Poměrové ukazatele</w:t>
      </w:r>
    </w:p>
    <w:p w14:paraId="03254758" w14:textId="77777777" w:rsidR="009C5AB4" w:rsidRDefault="009C5AB4" w:rsidP="009C5AB4">
      <w:pPr>
        <w:pStyle w:val="Odstavecseseznamem"/>
        <w:numPr>
          <w:ilvl w:val="0"/>
          <w:numId w:val="13"/>
        </w:numPr>
        <w:contextualSpacing w:val="0"/>
        <w:jc w:val="left"/>
        <w:rPr>
          <w:rFonts w:cs="Calibri"/>
          <w:sz w:val="18"/>
          <w:szCs w:val="18"/>
          <w:lang w:eastAsia="cs-CZ"/>
        </w:rPr>
      </w:pPr>
      <w:r>
        <w:rPr>
          <w:rFonts w:cs="Calibri"/>
          <w:sz w:val="18"/>
          <w:szCs w:val="18"/>
        </w:rPr>
        <w:lastRenderedPageBreak/>
        <w:t>Výpočet poměrových ukazatelů</w:t>
      </w:r>
    </w:p>
    <w:p w14:paraId="73A79473" w14:textId="77777777" w:rsidR="009C5AB4" w:rsidRDefault="009C5AB4"/>
    <w:sectPr w:rsidR="009C5AB4">
      <w:headerReference w:type="default" r:id="rId10"/>
      <w:footerReference w:type="default" r:id="rId11"/>
      <w:headerReference w:type="first" r:id="rId12"/>
      <w:footerReference w:type="first" r:id="rId13"/>
      <w:pgSz w:w="11906" w:h="16838"/>
      <w:pgMar w:top="1418" w:right="1304" w:bottom="1418" w:left="130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0E5D5" w14:textId="77777777" w:rsidR="0047037E" w:rsidRDefault="0047037E">
      <w:pPr>
        <w:spacing w:after="0" w:line="240" w:lineRule="auto"/>
      </w:pPr>
      <w:r>
        <w:separator/>
      </w:r>
    </w:p>
  </w:endnote>
  <w:endnote w:type="continuationSeparator" w:id="0">
    <w:p w14:paraId="56112E66" w14:textId="77777777" w:rsidR="0047037E" w:rsidRDefault="0047037E">
      <w:pPr>
        <w:spacing w:after="0" w:line="240" w:lineRule="auto"/>
      </w:pPr>
      <w:r>
        <w:continuationSeparator/>
      </w:r>
    </w:p>
  </w:endnote>
  <w:endnote w:type="continuationNotice" w:id="1">
    <w:p w14:paraId="3556ECCB" w14:textId="77777777" w:rsidR="0047037E" w:rsidRDefault="00470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7628" w14:textId="77777777" w:rsidR="004E7B56" w:rsidRDefault="004E7B56">
    <w:pPr>
      <w:pStyle w:val="Zpat"/>
      <w:jc w:val="right"/>
    </w:pPr>
  </w:p>
  <w:p w14:paraId="2687B9FB" w14:textId="77777777" w:rsidR="004E7B56" w:rsidRDefault="009C5AB4">
    <w:pPr>
      <w:spacing w:after="0"/>
      <w:jc w:val="right"/>
    </w:pPr>
    <w:r>
      <w:rPr>
        <w:rFonts w:ascii="Gill Sans MT" w:hAnsi="Gill Sans MT" w:cs="Gill Sans MT"/>
        <w:color w:val="595959"/>
        <w:sz w:val="14"/>
        <w:szCs w:val="14"/>
        <w:lang w:val="en-GB"/>
      </w:rPr>
      <w:t xml:space="preserve">Page </w:t>
    </w:r>
    <w:r>
      <w:rPr>
        <w:color w:val="595959"/>
        <w:sz w:val="14"/>
        <w:szCs w:val="14"/>
        <w:lang w:val="en-GB"/>
      </w:rPr>
      <w:fldChar w:fldCharType="begin"/>
    </w:r>
    <w:r>
      <w:rPr>
        <w:color w:val="595959"/>
        <w:sz w:val="14"/>
        <w:szCs w:val="14"/>
        <w:lang w:val="en-GB"/>
      </w:rPr>
      <w:instrText xml:space="preserve"> PAGE </w:instrText>
    </w:r>
    <w:r>
      <w:rPr>
        <w:color w:val="595959"/>
        <w:sz w:val="14"/>
        <w:szCs w:val="14"/>
        <w:lang w:val="en-GB"/>
      </w:rPr>
      <w:fldChar w:fldCharType="separate"/>
    </w:r>
    <w:r>
      <w:rPr>
        <w:color w:val="595959"/>
        <w:sz w:val="14"/>
        <w:szCs w:val="14"/>
        <w:lang w:val="en-GB"/>
      </w:rPr>
      <w:t>24</w:t>
    </w:r>
    <w:r>
      <w:rPr>
        <w:color w:val="595959"/>
        <w:sz w:val="14"/>
        <w:szCs w:val="14"/>
        <w:lang w:val="en-GB"/>
      </w:rPr>
      <w:fldChar w:fldCharType="end"/>
    </w:r>
    <w:r>
      <w:rPr>
        <w:rFonts w:ascii="Gill Sans MT" w:hAnsi="Gill Sans MT" w:cs="Gill Sans MT"/>
        <w:color w:val="595959"/>
        <w:sz w:val="14"/>
        <w:szCs w:val="14"/>
        <w:lang w:val="en-GB"/>
      </w:rPr>
      <w:t xml:space="preserve"> of </w:t>
    </w:r>
    <w:r>
      <w:rPr>
        <w:color w:val="595959"/>
        <w:sz w:val="14"/>
        <w:szCs w:val="14"/>
        <w:lang w:val="en-GB"/>
      </w:rPr>
      <w:fldChar w:fldCharType="begin"/>
    </w:r>
    <w:r>
      <w:rPr>
        <w:color w:val="595959"/>
        <w:sz w:val="14"/>
        <w:szCs w:val="14"/>
        <w:lang w:val="en-GB"/>
      </w:rPr>
      <w:instrText xml:space="preserve"> NUMPAGES \* ARABIC </w:instrText>
    </w:r>
    <w:r>
      <w:rPr>
        <w:color w:val="595959"/>
        <w:sz w:val="14"/>
        <w:szCs w:val="14"/>
        <w:lang w:val="en-GB"/>
      </w:rPr>
      <w:fldChar w:fldCharType="separate"/>
    </w:r>
    <w:r>
      <w:rPr>
        <w:color w:val="595959"/>
        <w:sz w:val="14"/>
        <w:szCs w:val="14"/>
        <w:lang w:val="en-GB"/>
      </w:rPr>
      <w:t>24</w:t>
    </w:r>
    <w:r>
      <w:rPr>
        <w:color w:val="595959"/>
        <w:sz w:val="14"/>
        <w:szCs w:val="14"/>
        <w:lang w:val="en-GB"/>
      </w:rPr>
      <w:fldChar w:fldCharType="end"/>
    </w:r>
  </w:p>
  <w:p w14:paraId="3FF6AC06" w14:textId="77777777" w:rsidR="004E7B56" w:rsidRDefault="004E7B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0978" w14:textId="77777777" w:rsidR="004E7B56" w:rsidRDefault="009C5AB4">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E69E" w14:textId="77777777" w:rsidR="0047037E" w:rsidRDefault="0047037E">
      <w:pPr>
        <w:spacing w:after="0" w:line="240" w:lineRule="auto"/>
      </w:pPr>
      <w:r>
        <w:separator/>
      </w:r>
    </w:p>
  </w:footnote>
  <w:footnote w:type="continuationSeparator" w:id="0">
    <w:p w14:paraId="19B70FFF" w14:textId="77777777" w:rsidR="0047037E" w:rsidRDefault="0047037E">
      <w:pPr>
        <w:spacing w:after="0" w:line="240" w:lineRule="auto"/>
      </w:pPr>
      <w:r>
        <w:continuationSeparator/>
      </w:r>
    </w:p>
  </w:footnote>
  <w:footnote w:type="continuationNotice" w:id="1">
    <w:p w14:paraId="15CBD42C" w14:textId="77777777" w:rsidR="0047037E" w:rsidRDefault="004703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36E3" w14:textId="77777777" w:rsidR="004E7B56" w:rsidRDefault="004E7B56">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0B96" w14:textId="77777777" w:rsidR="004E7B56" w:rsidRDefault="004E7B5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rPr>
        <w:b/>
      </w:r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86" w:hanging="360"/>
      </w:pPr>
      <w:rPr>
        <w:rFonts w:ascii="Arial" w:hAnsi="Arial" w:cs="Arial" w:hint="default"/>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7"/>
    <w:lvl w:ilvl="0">
      <w:start w:val="1"/>
      <w:numFmt w:val="lowerLetter"/>
      <w:lvlText w:val="%1)"/>
      <w:lvlJc w:val="left"/>
      <w:pPr>
        <w:tabs>
          <w:tab w:val="num" w:pos="0"/>
        </w:tabs>
        <w:ind w:left="720" w:hanging="360"/>
      </w:pPr>
    </w:lvl>
  </w:abstractNum>
  <w:abstractNum w:abstractNumId="8"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C"/>
    <w:multiLevelType w:val="singleLevel"/>
    <w:tmpl w:val="0000000C"/>
    <w:name w:val="WW8Num11"/>
    <w:lvl w:ilvl="0">
      <w:start w:val="1"/>
      <w:numFmt w:val="lowerLetter"/>
      <w:lvlText w:val="%1)"/>
      <w:lvlJc w:val="left"/>
      <w:pPr>
        <w:tabs>
          <w:tab w:val="num" w:pos="0"/>
        </w:tabs>
        <w:ind w:left="720" w:hanging="360"/>
      </w:p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3"/>
    <w:multiLevelType w:val="multilevel"/>
    <w:tmpl w:val="00000013"/>
    <w:name w:val="WW8Num19"/>
    <w:lvl w:ilvl="0">
      <w:start w:val="1"/>
      <w:numFmt w:val="decimal"/>
      <w:pStyle w:val="Nadpis1tahoma"/>
      <w:lvlText w:val="%1."/>
      <w:lvlJc w:val="left"/>
      <w:pPr>
        <w:tabs>
          <w:tab w:val="num" w:pos="0"/>
        </w:tabs>
        <w:ind w:left="720" w:hanging="360"/>
      </w:pPr>
    </w:lvl>
    <w:lvl w:ilvl="1">
      <w:start w:val="1"/>
      <w:numFmt w:val="decimal"/>
      <w:lvlText w:val="%1.%2"/>
      <w:lvlJc w:val="left"/>
      <w:pPr>
        <w:tabs>
          <w:tab w:val="num" w:pos="0"/>
        </w:tabs>
        <w:ind w:left="975" w:hanging="61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6"/>
    <w:multiLevelType w:val="multilevel"/>
    <w:tmpl w:val="00000016"/>
    <w:name w:val="WW8Num22"/>
    <w:lvl w:ilvl="0">
      <w:start w:val="1"/>
      <w:numFmt w:val="bullet"/>
      <w:lvlText w:val="-"/>
      <w:lvlJc w:val="left"/>
      <w:pPr>
        <w:tabs>
          <w:tab w:val="num" w:pos="723"/>
        </w:tabs>
        <w:ind w:left="723" w:hanging="360"/>
      </w:pPr>
      <w:rPr>
        <w:rFonts w:ascii="Courier New" w:hAnsi="Courier New" w:cs="Courier New" w:hint="default"/>
      </w:rPr>
    </w:lvl>
    <w:lvl w:ilvl="1">
      <w:start w:val="1"/>
      <w:numFmt w:val="bullet"/>
      <w:lvlText w:val="-"/>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hint="default"/>
      </w:rPr>
    </w:lvl>
  </w:abstractNum>
  <w:abstractNum w:abstractNumId="23" w15:restartNumberingAfterBreak="0">
    <w:nsid w:val="00000018"/>
    <w:multiLevelType w:val="multilevel"/>
    <w:tmpl w:val="00000018"/>
    <w:lvl w:ilvl="0">
      <w:start w:val="39"/>
      <w:numFmt w:val="decimal"/>
      <w:lvlText w:val="%1"/>
      <w:lvlJc w:val="left"/>
      <w:pPr>
        <w:tabs>
          <w:tab w:val="num" w:pos="0"/>
        </w:tabs>
        <w:ind w:left="432" w:hanging="432"/>
      </w:p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 w15:restartNumberingAfterBreak="0">
    <w:nsid w:val="00000019"/>
    <w:multiLevelType w:val="multilevel"/>
    <w:tmpl w:val="0000001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16cid:durableId="1686782156">
    <w:abstractNumId w:val="0"/>
  </w:num>
  <w:num w:numId="2" w16cid:durableId="82797925">
    <w:abstractNumId w:val="1"/>
  </w:num>
  <w:num w:numId="3" w16cid:durableId="406735419">
    <w:abstractNumId w:val="2"/>
  </w:num>
  <w:num w:numId="4" w16cid:durableId="238098856">
    <w:abstractNumId w:val="3"/>
  </w:num>
  <w:num w:numId="5" w16cid:durableId="1788740820">
    <w:abstractNumId w:val="4"/>
  </w:num>
  <w:num w:numId="6" w16cid:durableId="1917132645">
    <w:abstractNumId w:val="5"/>
  </w:num>
  <w:num w:numId="7" w16cid:durableId="215315885">
    <w:abstractNumId w:val="6"/>
  </w:num>
  <w:num w:numId="8" w16cid:durableId="1141195420">
    <w:abstractNumId w:val="7"/>
  </w:num>
  <w:num w:numId="9" w16cid:durableId="372076321">
    <w:abstractNumId w:val="8"/>
  </w:num>
  <w:num w:numId="10" w16cid:durableId="494079239">
    <w:abstractNumId w:val="9"/>
  </w:num>
  <w:num w:numId="11" w16cid:durableId="1994990008">
    <w:abstractNumId w:val="10"/>
  </w:num>
  <w:num w:numId="12" w16cid:durableId="935942329">
    <w:abstractNumId w:val="11"/>
  </w:num>
  <w:num w:numId="13" w16cid:durableId="1906331183">
    <w:abstractNumId w:val="12"/>
  </w:num>
  <w:num w:numId="14" w16cid:durableId="746920055">
    <w:abstractNumId w:val="13"/>
  </w:num>
  <w:num w:numId="15" w16cid:durableId="931668985">
    <w:abstractNumId w:val="14"/>
  </w:num>
  <w:num w:numId="16" w16cid:durableId="1270309131">
    <w:abstractNumId w:val="15"/>
  </w:num>
  <w:num w:numId="17" w16cid:durableId="865216878">
    <w:abstractNumId w:val="16"/>
  </w:num>
  <w:num w:numId="18" w16cid:durableId="287054985">
    <w:abstractNumId w:val="17"/>
  </w:num>
  <w:num w:numId="19" w16cid:durableId="1945531913">
    <w:abstractNumId w:val="18"/>
  </w:num>
  <w:num w:numId="20" w16cid:durableId="2116049102">
    <w:abstractNumId w:val="19"/>
  </w:num>
  <w:num w:numId="21" w16cid:durableId="288513686">
    <w:abstractNumId w:val="20"/>
  </w:num>
  <w:num w:numId="22" w16cid:durableId="1747918301">
    <w:abstractNumId w:val="21"/>
  </w:num>
  <w:num w:numId="23" w16cid:durableId="1782530031">
    <w:abstractNumId w:val="22"/>
  </w:num>
  <w:num w:numId="24" w16cid:durableId="1882671910">
    <w:abstractNumId w:val="23"/>
  </w:num>
  <w:num w:numId="25" w16cid:durableId="8540776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36"/>
    <w:rsid w:val="000061F8"/>
    <w:rsid w:val="00035B54"/>
    <w:rsid w:val="000A192F"/>
    <w:rsid w:val="000C7F61"/>
    <w:rsid w:val="000E37B2"/>
    <w:rsid w:val="001608EC"/>
    <w:rsid w:val="001B15BB"/>
    <w:rsid w:val="002756D4"/>
    <w:rsid w:val="003921D4"/>
    <w:rsid w:val="0039714A"/>
    <w:rsid w:val="003B57A7"/>
    <w:rsid w:val="00402713"/>
    <w:rsid w:val="004219F0"/>
    <w:rsid w:val="00464475"/>
    <w:rsid w:val="0047037E"/>
    <w:rsid w:val="004C16AD"/>
    <w:rsid w:val="004E7B56"/>
    <w:rsid w:val="004F72DE"/>
    <w:rsid w:val="00506C56"/>
    <w:rsid w:val="0055249F"/>
    <w:rsid w:val="0058248A"/>
    <w:rsid w:val="005954A3"/>
    <w:rsid w:val="00650F6E"/>
    <w:rsid w:val="00690E12"/>
    <w:rsid w:val="006D6B2E"/>
    <w:rsid w:val="006E09D8"/>
    <w:rsid w:val="006F7204"/>
    <w:rsid w:val="00713AA8"/>
    <w:rsid w:val="0074218B"/>
    <w:rsid w:val="00765647"/>
    <w:rsid w:val="007B0627"/>
    <w:rsid w:val="0081336A"/>
    <w:rsid w:val="00814B95"/>
    <w:rsid w:val="00881140"/>
    <w:rsid w:val="008D5D25"/>
    <w:rsid w:val="00920701"/>
    <w:rsid w:val="00953CBE"/>
    <w:rsid w:val="0097300E"/>
    <w:rsid w:val="0099594D"/>
    <w:rsid w:val="009C5AB4"/>
    <w:rsid w:val="00A32D1E"/>
    <w:rsid w:val="00A41FA8"/>
    <w:rsid w:val="00A64C12"/>
    <w:rsid w:val="00A7194F"/>
    <w:rsid w:val="00A76124"/>
    <w:rsid w:val="00A76DE9"/>
    <w:rsid w:val="00AA2512"/>
    <w:rsid w:val="00AA467E"/>
    <w:rsid w:val="00B17807"/>
    <w:rsid w:val="00B55A32"/>
    <w:rsid w:val="00B82D39"/>
    <w:rsid w:val="00B942F6"/>
    <w:rsid w:val="00C9390E"/>
    <w:rsid w:val="00CA625F"/>
    <w:rsid w:val="00CF52AD"/>
    <w:rsid w:val="00D24004"/>
    <w:rsid w:val="00D63364"/>
    <w:rsid w:val="00D702B6"/>
    <w:rsid w:val="00D901B1"/>
    <w:rsid w:val="00D9578F"/>
    <w:rsid w:val="00DA1CAE"/>
    <w:rsid w:val="00DC250C"/>
    <w:rsid w:val="00EA1336"/>
    <w:rsid w:val="00EB4054"/>
    <w:rsid w:val="00EB458A"/>
    <w:rsid w:val="00EC78B0"/>
    <w:rsid w:val="00FA7D73"/>
    <w:rsid w:val="00FF6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CE471C"/>
  <w15:chartTrackingRefBased/>
  <w15:docId w15:val="{A4323024-E340-41E5-98BA-DBAB145C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jc w:val="both"/>
    </w:pPr>
    <w:rPr>
      <w:rFonts w:ascii="Calibri" w:eastAsia="Calibri" w:hAnsi="Calibri"/>
      <w:sz w:val="18"/>
      <w:szCs w:val="22"/>
      <w:lang w:eastAsia="zh-CN"/>
    </w:rPr>
  </w:style>
  <w:style w:type="paragraph" w:styleId="Nadpis1">
    <w:name w:val="heading 1"/>
    <w:basedOn w:val="Normln"/>
    <w:next w:val="Normln"/>
    <w:qFormat/>
    <w:pPr>
      <w:keepNext/>
      <w:numPr>
        <w:numId w:val="1"/>
      </w:numPr>
      <w:spacing w:before="240" w:after="60"/>
      <w:outlineLvl w:val="0"/>
    </w:pPr>
    <w:rPr>
      <w:rFonts w:eastAsia="Times New Roman"/>
      <w:b/>
      <w:bCs/>
      <w:smallCaps/>
      <w:kern w:val="2"/>
      <w:sz w:val="28"/>
      <w:szCs w:val="28"/>
      <w:lang w:val="x-none"/>
    </w:rPr>
  </w:style>
  <w:style w:type="paragraph" w:styleId="Nadpis2">
    <w:name w:val="heading 2"/>
    <w:basedOn w:val="Normln"/>
    <w:next w:val="Normln"/>
    <w:qFormat/>
    <w:pPr>
      <w:keepNext/>
      <w:numPr>
        <w:ilvl w:val="1"/>
        <w:numId w:val="1"/>
      </w:numPr>
      <w:spacing w:before="240" w:after="60"/>
      <w:outlineLvl w:val="1"/>
    </w:pPr>
    <w:rPr>
      <w:rFonts w:eastAsia="Times New Roman"/>
      <w:b/>
      <w:bCs/>
      <w:iCs/>
      <w:sz w:val="24"/>
      <w:szCs w:val="24"/>
      <w:lang w:val="x-none"/>
    </w:rPr>
  </w:style>
  <w:style w:type="paragraph" w:styleId="Nadpis3">
    <w:name w:val="heading 3"/>
    <w:basedOn w:val="Normln"/>
    <w:next w:val="Normln"/>
    <w:qFormat/>
    <w:pPr>
      <w:keepNext/>
      <w:numPr>
        <w:ilvl w:val="2"/>
        <w:numId w:val="1"/>
      </w:numPr>
      <w:spacing w:before="240" w:after="60"/>
      <w:outlineLvl w:val="2"/>
    </w:pPr>
    <w:rPr>
      <w:rFonts w:eastAsia="Times New Roman"/>
      <w:b/>
      <w:bCs/>
      <w:sz w:val="22"/>
      <w:szCs w:val="26"/>
      <w:lang w:val="x-none"/>
    </w:rPr>
  </w:style>
  <w:style w:type="paragraph" w:styleId="Nadpis4">
    <w:name w:val="heading 4"/>
    <w:basedOn w:val="Normln"/>
    <w:next w:val="Normln"/>
    <w:qFormat/>
    <w:pPr>
      <w:keepNext/>
      <w:numPr>
        <w:ilvl w:val="3"/>
        <w:numId w:val="1"/>
      </w:numPr>
      <w:spacing w:before="240" w:after="60"/>
      <w:ind w:left="680" w:hanging="680"/>
      <w:outlineLvl w:val="3"/>
    </w:pPr>
    <w:rPr>
      <w:b/>
      <w:bCs/>
      <w:szCs w:val="20"/>
      <w:lang w:val="x-none"/>
    </w:rPr>
  </w:style>
  <w:style w:type="paragraph" w:styleId="Nadpis5">
    <w:name w:val="heading 5"/>
    <w:basedOn w:val="Normln"/>
    <w:next w:val="Normln"/>
    <w:qFormat/>
    <w:pPr>
      <w:numPr>
        <w:ilvl w:val="4"/>
        <w:numId w:val="1"/>
      </w:numPr>
      <w:spacing w:before="240" w:after="60"/>
      <w:outlineLvl w:val="4"/>
    </w:pPr>
    <w:rPr>
      <w:rFonts w:eastAsia="Times New Roman"/>
      <w:b/>
      <w:bCs/>
      <w:i/>
      <w:iCs/>
      <w:sz w:val="26"/>
      <w:szCs w:val="26"/>
      <w:lang w:val="x-none"/>
    </w:rPr>
  </w:style>
  <w:style w:type="paragraph" w:styleId="Nadpis6">
    <w:name w:val="heading 6"/>
    <w:basedOn w:val="Normln"/>
    <w:next w:val="Normln"/>
    <w:qFormat/>
    <w:pPr>
      <w:numPr>
        <w:ilvl w:val="5"/>
        <w:numId w:val="1"/>
      </w:numPr>
      <w:spacing w:before="240" w:after="60"/>
      <w:outlineLvl w:val="5"/>
    </w:pPr>
    <w:rPr>
      <w:rFonts w:eastAsia="Times New Roman"/>
      <w:b/>
      <w:bCs/>
      <w:sz w:val="22"/>
      <w:lang w:val="x-none"/>
    </w:rPr>
  </w:style>
  <w:style w:type="paragraph" w:styleId="Nadpis7">
    <w:name w:val="heading 7"/>
    <w:basedOn w:val="Normln"/>
    <w:next w:val="Normln"/>
    <w:qFormat/>
    <w:pPr>
      <w:numPr>
        <w:ilvl w:val="6"/>
        <w:numId w:val="1"/>
      </w:numPr>
      <w:spacing w:before="240" w:after="60"/>
      <w:outlineLvl w:val="6"/>
    </w:pPr>
    <w:rPr>
      <w:rFonts w:eastAsia="Times New Roman"/>
      <w:sz w:val="24"/>
      <w:szCs w:val="24"/>
      <w:lang w:val="x-none"/>
    </w:rPr>
  </w:style>
  <w:style w:type="paragraph" w:styleId="Nadpis8">
    <w:name w:val="heading 8"/>
    <w:basedOn w:val="Normln"/>
    <w:next w:val="Normln"/>
    <w:qFormat/>
    <w:pPr>
      <w:numPr>
        <w:ilvl w:val="7"/>
        <w:numId w:val="1"/>
      </w:numPr>
      <w:spacing w:before="240" w:after="60"/>
      <w:outlineLvl w:val="7"/>
    </w:pPr>
    <w:rPr>
      <w:rFonts w:eastAsia="Times New Roman"/>
      <w:i/>
      <w:iCs/>
      <w:sz w:val="24"/>
      <w:szCs w:val="24"/>
      <w:lang w:val="x-none"/>
    </w:rPr>
  </w:style>
  <w:style w:type="paragraph" w:styleId="Nadpis9">
    <w:name w:val="heading 9"/>
    <w:basedOn w:val="Normln"/>
    <w:next w:val="Normln"/>
    <w:qFormat/>
    <w:pPr>
      <w:numPr>
        <w:ilvl w:val="8"/>
        <w:numId w:val="1"/>
      </w:numPr>
      <w:spacing w:before="240" w:after="60"/>
      <w:outlineLvl w:val="8"/>
    </w:pPr>
    <w:rPr>
      <w:rFonts w:ascii="Cambria" w:eastAsia="Times New Roman" w:hAnsi="Cambria" w:cs="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Arial" w:eastAsia="Calibri"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rPr>
      <w:b/>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1">
    <w:name w:val="WW8Num19z1"/>
    <w:rPr>
      <w:rFont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Courier New" w:hAnsi="Courier New" w:cs="Courier New"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Standardnpsmoodstavce1">
    <w:name w:val="Standardní písmo odstavce1"/>
  </w:style>
  <w:style w:type="character" w:customStyle="1" w:styleId="Nadpis1Char">
    <w:name w:val="Nadpis 1 Char"/>
    <w:rPr>
      <w:rFonts w:eastAsia="Times New Roman"/>
      <w:b/>
      <w:bCs/>
      <w:smallCaps/>
      <w:kern w:val="2"/>
      <w:sz w:val="28"/>
      <w:szCs w:val="28"/>
      <w:lang w:val="x-none"/>
    </w:rPr>
  </w:style>
  <w:style w:type="character" w:customStyle="1" w:styleId="Nadpis2Char">
    <w:name w:val="Nadpis 2 Char"/>
    <w:rPr>
      <w:rFonts w:eastAsia="Times New Roman"/>
      <w:b/>
      <w:bCs/>
      <w:iCs/>
      <w:sz w:val="24"/>
      <w:szCs w:val="24"/>
      <w:lang w:val="x-none"/>
    </w:rPr>
  </w:style>
  <w:style w:type="character" w:customStyle="1" w:styleId="Nadpis3Char">
    <w:name w:val="Nadpis 3 Char"/>
    <w:rPr>
      <w:rFonts w:eastAsia="Times New Roman"/>
      <w:b/>
      <w:bCs/>
      <w:sz w:val="22"/>
      <w:szCs w:val="26"/>
      <w:lang w:val="x-none"/>
    </w:rPr>
  </w:style>
  <w:style w:type="character" w:customStyle="1" w:styleId="OdstavecseseznamemChar">
    <w:name w:val="Odstavec se seznamem Char"/>
    <w:rPr>
      <w:sz w:val="22"/>
      <w:szCs w:val="22"/>
    </w:rPr>
  </w:style>
  <w:style w:type="character" w:customStyle="1" w:styleId="Nadpis1tahomaChar">
    <w:name w:val="Nadpis 1 tahoma Char"/>
    <w:rPr>
      <w:b/>
      <w:sz w:val="28"/>
      <w:szCs w:val="28"/>
      <w:u w:val="single"/>
      <w:lang w:val="x-none"/>
    </w:rPr>
  </w:style>
  <w:style w:type="character" w:customStyle="1" w:styleId="PodtitulChar">
    <w:name w:val="Podtitul Char"/>
    <w:rPr>
      <w:rFonts w:ascii="Cambria" w:eastAsia="Times New Roman" w:hAnsi="Cambria" w:cs="Times New Roman"/>
      <w:sz w:val="24"/>
      <w:szCs w:val="24"/>
    </w:rPr>
  </w:style>
  <w:style w:type="character" w:customStyle="1" w:styleId="NzevChar">
    <w:name w:val="Název Char"/>
    <w:rPr>
      <w:rFonts w:ascii="Cambria" w:eastAsia="Times New Roman" w:hAnsi="Cambria" w:cs="Times New Roman"/>
      <w:b/>
      <w:bCs/>
      <w:kern w:val="2"/>
      <w:sz w:val="32"/>
      <w:szCs w:val="32"/>
    </w:rPr>
  </w:style>
  <w:style w:type="character" w:customStyle="1" w:styleId="Nadpis4Char">
    <w:name w:val="Nadpis 4 Char"/>
    <w:rPr>
      <w:b/>
      <w:bCs/>
      <w:sz w:val="18"/>
      <w:lang w:val="x-none"/>
    </w:rPr>
  </w:style>
  <w:style w:type="character" w:customStyle="1" w:styleId="Nadpis5Char">
    <w:name w:val="Nadpis 5 Char"/>
    <w:rPr>
      <w:rFonts w:eastAsia="Times New Roman"/>
      <w:b/>
      <w:bCs/>
      <w:i/>
      <w:iCs/>
      <w:sz w:val="26"/>
      <w:szCs w:val="26"/>
      <w:lang w:val="x-none"/>
    </w:rPr>
  </w:style>
  <w:style w:type="character" w:customStyle="1" w:styleId="Nadpis6Char">
    <w:name w:val="Nadpis 6 Char"/>
    <w:rPr>
      <w:rFonts w:eastAsia="Times New Roman"/>
      <w:b/>
      <w:bCs/>
      <w:sz w:val="22"/>
      <w:szCs w:val="22"/>
      <w:lang w:val="x-none"/>
    </w:rPr>
  </w:style>
  <w:style w:type="character" w:customStyle="1" w:styleId="Nadpis7Char">
    <w:name w:val="Nadpis 7 Char"/>
    <w:rPr>
      <w:rFonts w:eastAsia="Times New Roman"/>
      <w:sz w:val="24"/>
      <w:szCs w:val="24"/>
      <w:lang w:val="x-none"/>
    </w:rPr>
  </w:style>
  <w:style w:type="character" w:customStyle="1" w:styleId="Nadpis8Char">
    <w:name w:val="Nadpis 8 Char"/>
    <w:rPr>
      <w:rFonts w:eastAsia="Times New Roman"/>
      <w:i/>
      <w:iCs/>
      <w:sz w:val="24"/>
      <w:szCs w:val="24"/>
      <w:lang w:val="x-none"/>
    </w:rPr>
  </w:style>
  <w:style w:type="character" w:customStyle="1" w:styleId="Nadpis9Char">
    <w:name w:val="Nadpis 9 Char"/>
    <w:rPr>
      <w:rFonts w:ascii="Cambria" w:eastAsia="Times New Roman" w:hAnsi="Cambria" w:cs="Cambria"/>
      <w:sz w:val="22"/>
      <w:szCs w:val="22"/>
      <w:lang w:val="x-none"/>
    </w:rPr>
  </w:style>
  <w:style w:type="character" w:customStyle="1" w:styleId="TextbublinyChar">
    <w:name w:val="Text bubliny Char"/>
    <w:rPr>
      <w:rFonts w:ascii="Arial" w:hAnsi="Arial" w:cs="Arial"/>
      <w:sz w:val="16"/>
      <w:szCs w:val="16"/>
    </w:rPr>
  </w:style>
  <w:style w:type="character" w:customStyle="1" w:styleId="ZkladntextodsazenChar">
    <w:name w:val="Základní text odsazený Char"/>
    <w:rPr>
      <w:rFonts w:eastAsia="Times New Roman" w:cs="Calibri"/>
      <w:color w:val="FF0000"/>
      <w:sz w:val="18"/>
      <w:szCs w:val="16"/>
    </w:rPr>
  </w:style>
  <w:style w:type="character" w:customStyle="1" w:styleId="ZhlavChar">
    <w:name w:val="Záhlaví Char"/>
    <w:rPr>
      <w:szCs w:val="22"/>
    </w:rPr>
  </w:style>
  <w:style w:type="character" w:customStyle="1" w:styleId="ZpatChar">
    <w:name w:val="Zápatí Char"/>
    <w:rPr>
      <w:szCs w:val="22"/>
    </w:rPr>
  </w:style>
  <w:style w:type="character" w:styleId="Hypertextovodkaz">
    <w:name w:val="Hyperlink"/>
    <w:rPr>
      <w:color w:val="0000FF"/>
      <w:u w:val="single"/>
    </w:rPr>
  </w:style>
  <w:style w:type="character" w:customStyle="1" w:styleId="n00Char">
    <w:name w:val="n00 Char"/>
    <w:rPr>
      <w:rFonts w:ascii="Arial" w:eastAsia="Times New Roman" w:hAnsi="Arial" w:cs="Arial"/>
      <w:sz w:val="24"/>
      <w:szCs w:val="24"/>
    </w:rPr>
  </w:style>
  <w:style w:type="character" w:styleId="Zdraznnintenzivn">
    <w:name w:val="Intense Emphasis"/>
    <w:qFormat/>
    <w:rPr>
      <w:rFonts w:ascii="Calibri" w:hAnsi="Calibri" w:cs="Calibri"/>
      <w:i w:val="0"/>
      <w:sz w:val="22"/>
      <w:u w:val="single"/>
    </w:rPr>
  </w:style>
  <w:style w:type="character" w:styleId="KdHTML">
    <w:name w:val="HTML Code"/>
    <w:rPr>
      <w:rFonts w:ascii="Courier New" w:eastAsia="Times New Roman" w:hAnsi="Courier New" w:cs="Courier New"/>
      <w:sz w:val="20"/>
      <w:szCs w:val="20"/>
    </w:rPr>
  </w:style>
  <w:style w:type="character" w:customStyle="1" w:styleId="preformatted">
    <w:name w:val="preformatted"/>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apple-converted-space">
    <w:name w:val="apple-converted-space"/>
  </w:style>
  <w:style w:type="character" w:customStyle="1" w:styleId="hps">
    <w:name w:val="hps"/>
  </w:style>
  <w:style w:type="character" w:customStyle="1" w:styleId="shorttext">
    <w:name w:val="short_text"/>
  </w:style>
  <w:style w:type="character" w:styleId="Zdraznn">
    <w:name w:val="Emphasis"/>
    <w:qFormat/>
    <w:rPr>
      <w:i/>
      <w:iCs/>
    </w:rPr>
  </w:style>
  <w:style w:type="character" w:customStyle="1" w:styleId="PedmtkomenteChar">
    <w:name w:val="Předmět komentáře Char"/>
    <w:rPr>
      <w:b/>
      <w:bCs/>
    </w:rPr>
  </w:style>
  <w:style w:type="paragraph" w:customStyle="1" w:styleId="Nadpis">
    <w:name w:val="Nadpis"/>
    <w:basedOn w:val="Normln"/>
    <w:next w:val="Normln"/>
    <w:pPr>
      <w:spacing w:before="240" w:after="60"/>
      <w:jc w:val="center"/>
      <w:outlineLvl w:val="0"/>
    </w:pPr>
    <w:rPr>
      <w:rFonts w:ascii="Cambria" w:eastAsia="Times New Roman" w:hAnsi="Cambria" w:cs="Cambria"/>
      <w:b/>
      <w:bCs/>
      <w:kern w:val="2"/>
      <w:sz w:val="32"/>
      <w:szCs w:val="32"/>
      <w:lang w:val="x-none"/>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pPr>
      <w:suppressLineNumbers/>
    </w:pPr>
    <w:rPr>
      <w:rFonts w:cs="Lucida Sans"/>
    </w:rPr>
  </w:style>
  <w:style w:type="paragraph" w:styleId="Odstavecseseznamem">
    <w:name w:val="List Paragraph"/>
    <w:basedOn w:val="Normln"/>
    <w:qFormat/>
    <w:pPr>
      <w:ind w:left="720"/>
      <w:contextualSpacing/>
    </w:pPr>
    <w:rPr>
      <w:sz w:val="22"/>
      <w:lang w:val="x-none"/>
    </w:rPr>
  </w:style>
  <w:style w:type="paragraph" w:customStyle="1" w:styleId="Nadpis1tahoma">
    <w:name w:val="Nadpis 1 tahoma"/>
    <w:basedOn w:val="Odstavecseseznamem"/>
    <w:pPr>
      <w:numPr>
        <w:numId w:val="19"/>
      </w:numPr>
      <w:tabs>
        <w:tab w:val="left" w:pos="284"/>
        <w:tab w:val="left" w:pos="13892"/>
      </w:tabs>
      <w:spacing w:before="240" w:after="120"/>
      <w:ind w:left="0" w:hanging="11"/>
    </w:pPr>
    <w:rPr>
      <w:b/>
      <w:sz w:val="28"/>
      <w:szCs w:val="28"/>
      <w:u w:val="single"/>
    </w:rPr>
  </w:style>
  <w:style w:type="paragraph" w:styleId="Podnadpis">
    <w:name w:val="Subtitle"/>
    <w:basedOn w:val="Normln"/>
    <w:next w:val="Normln"/>
    <w:qFormat/>
    <w:pPr>
      <w:spacing w:after="60"/>
      <w:jc w:val="center"/>
      <w:outlineLvl w:val="1"/>
    </w:pPr>
    <w:rPr>
      <w:rFonts w:ascii="Cambria" w:eastAsia="Times New Roman" w:hAnsi="Cambria" w:cs="Cambria"/>
      <w:sz w:val="24"/>
      <w:szCs w:val="24"/>
      <w:lang w:val="x-none"/>
    </w:rPr>
  </w:style>
  <w:style w:type="paragraph" w:styleId="Textbubliny">
    <w:name w:val="Balloon Text"/>
    <w:basedOn w:val="Normln"/>
    <w:pPr>
      <w:spacing w:after="0" w:line="240" w:lineRule="auto"/>
    </w:pPr>
    <w:rPr>
      <w:rFonts w:ascii="Arial" w:hAnsi="Arial" w:cs="Arial"/>
      <w:sz w:val="16"/>
      <w:szCs w:val="16"/>
      <w:lang w:val="x-none"/>
    </w:rPr>
  </w:style>
  <w:style w:type="paragraph" w:styleId="Zkladntextodsazen">
    <w:name w:val="Body Text Indent"/>
    <w:basedOn w:val="Normln"/>
    <w:pPr>
      <w:spacing w:after="0" w:line="360" w:lineRule="auto"/>
      <w:ind w:firstLine="708"/>
    </w:pPr>
    <w:rPr>
      <w:rFonts w:eastAsia="Times New Roman"/>
      <w:color w:val="FF0000"/>
      <w:szCs w:val="16"/>
      <w:lang w:val="x-none"/>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Bezmezer">
    <w:name w:val="No Spacing"/>
    <w:qFormat/>
    <w:pPr>
      <w:suppressAutoHyphens/>
      <w:jc w:val="both"/>
    </w:pPr>
    <w:rPr>
      <w:rFonts w:ascii="Calibri" w:eastAsia="Calibri" w:hAnsi="Calibri"/>
      <w:szCs w:val="22"/>
      <w:lang w:eastAsia="zh-CN"/>
    </w:rPr>
  </w:style>
  <w:style w:type="paragraph" w:customStyle="1" w:styleId="n00">
    <w:name w:val="n00"/>
    <w:basedOn w:val="Normln"/>
    <w:pPr>
      <w:spacing w:before="120" w:after="0" w:line="240" w:lineRule="auto"/>
    </w:pPr>
    <w:rPr>
      <w:rFonts w:ascii="Arial" w:eastAsia="Times New Roman" w:hAnsi="Arial" w:cs="Arial"/>
      <w:sz w:val="24"/>
      <w:szCs w:val="24"/>
    </w:rPr>
  </w:style>
  <w:style w:type="paragraph" w:customStyle="1" w:styleId="doklinv">
    <w:name w:val="doklinv"/>
    <w:basedOn w:val="Normln"/>
    <w:next w:val="dokintex"/>
    <w:pPr>
      <w:keepNext/>
      <w:tabs>
        <w:tab w:val="left" w:pos="6521"/>
        <w:tab w:val="right" w:pos="9072"/>
      </w:tabs>
      <w:spacing w:before="120" w:after="0" w:line="240" w:lineRule="auto"/>
    </w:pPr>
    <w:rPr>
      <w:rFonts w:ascii="Arial" w:eastAsia="Times New Roman" w:hAnsi="Arial" w:cs="Arial"/>
      <w:sz w:val="24"/>
      <w:szCs w:val="24"/>
    </w:rPr>
  </w:style>
  <w:style w:type="paragraph" w:customStyle="1" w:styleId="dokintex">
    <w:name w:val="dokintex"/>
    <w:basedOn w:val="Normln"/>
    <w:next w:val="doklinv"/>
    <w:pPr>
      <w:tabs>
        <w:tab w:val="right" w:pos="9356"/>
      </w:tabs>
      <w:spacing w:before="120" w:after="0" w:line="240" w:lineRule="auto"/>
      <w:ind w:left="567"/>
    </w:pPr>
    <w:rPr>
      <w:rFonts w:ascii="Arial" w:eastAsia="Times New Roman" w:hAnsi="Arial" w:cs="Arial"/>
      <w:sz w:val="24"/>
      <w:szCs w:val="24"/>
    </w:rPr>
  </w:style>
  <w:style w:type="paragraph" w:customStyle="1" w:styleId="Textkomente1">
    <w:name w:val="Text komentáře1"/>
    <w:basedOn w:val="Normln"/>
    <w:rPr>
      <w:szCs w:val="20"/>
    </w:rPr>
  </w:style>
  <w:style w:type="paragraph" w:customStyle="1" w:styleId="Textbody">
    <w:name w:val="Text body"/>
    <w:basedOn w:val="Normln"/>
    <w:pPr>
      <w:widowControl w:val="0"/>
      <w:spacing w:after="140"/>
      <w:jc w:val="left"/>
      <w:textAlignment w:val="baseline"/>
    </w:pPr>
    <w:rPr>
      <w:rFonts w:ascii="Liberation Serif" w:eastAsia="Segoe UI" w:hAnsi="Liberation Serif" w:cs="Tahoma"/>
      <w:color w:val="000000"/>
      <w:kern w:val="2"/>
      <w:sz w:val="24"/>
      <w:szCs w:val="24"/>
      <w:lang w:bidi="hi-IN"/>
    </w:rPr>
  </w:style>
  <w:style w:type="paragraph" w:customStyle="1" w:styleId="Standard">
    <w:name w:val="Standard"/>
    <w:pPr>
      <w:widowControl w:val="0"/>
      <w:suppressAutoHyphens/>
      <w:textAlignment w:val="baseline"/>
    </w:pPr>
    <w:rPr>
      <w:rFonts w:ascii="Liberation Serif" w:eastAsia="Segoe UI" w:hAnsi="Liberation Serif" w:cs="Tahoma"/>
      <w:color w:val="000000"/>
      <w:kern w:val="2"/>
      <w:sz w:val="24"/>
      <w:szCs w:val="24"/>
      <w:lang w:eastAsia="zh-CN" w:bidi="hi-IN"/>
    </w:rPr>
  </w:style>
  <w:style w:type="paragraph" w:styleId="Pedmtkomente">
    <w:name w:val="annotation subject"/>
    <w:basedOn w:val="Textkomente1"/>
    <w:next w:val="Textkomente1"/>
    <w:rPr>
      <w:b/>
      <w:bCs/>
      <w:sz w:val="20"/>
    </w:r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paragraph" w:styleId="Textkomente">
    <w:name w:val="annotation text"/>
    <w:basedOn w:val="Normln"/>
    <w:link w:val="TextkomenteChar1"/>
    <w:uiPriority w:val="99"/>
    <w:semiHidden/>
    <w:unhideWhenUsed/>
    <w:pPr>
      <w:spacing w:line="240" w:lineRule="auto"/>
    </w:pPr>
    <w:rPr>
      <w:sz w:val="20"/>
      <w:szCs w:val="20"/>
    </w:rPr>
  </w:style>
  <w:style w:type="character" w:customStyle="1" w:styleId="TextkomenteChar1">
    <w:name w:val="Text komentáře Char1"/>
    <w:basedOn w:val="Standardnpsmoodstavce"/>
    <w:link w:val="Textkomente"/>
    <w:uiPriority w:val="99"/>
    <w:semiHidden/>
    <w:rPr>
      <w:rFonts w:ascii="Calibri" w:eastAsia="Calibri" w:hAnsi="Calibri"/>
      <w:lang w:eastAsia="zh-CN"/>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2474">
      <w:bodyDiv w:val="1"/>
      <w:marLeft w:val="0"/>
      <w:marRight w:val="0"/>
      <w:marTop w:val="0"/>
      <w:marBottom w:val="0"/>
      <w:divBdr>
        <w:top w:val="none" w:sz="0" w:space="0" w:color="auto"/>
        <w:left w:val="none" w:sz="0" w:space="0" w:color="auto"/>
        <w:bottom w:val="none" w:sz="0" w:space="0" w:color="auto"/>
        <w:right w:val="none" w:sz="0" w:space="0" w:color="auto"/>
      </w:divBdr>
    </w:div>
    <w:div w:id="118768580">
      <w:bodyDiv w:val="1"/>
      <w:marLeft w:val="0"/>
      <w:marRight w:val="0"/>
      <w:marTop w:val="0"/>
      <w:marBottom w:val="0"/>
      <w:divBdr>
        <w:top w:val="none" w:sz="0" w:space="0" w:color="auto"/>
        <w:left w:val="none" w:sz="0" w:space="0" w:color="auto"/>
        <w:bottom w:val="none" w:sz="0" w:space="0" w:color="auto"/>
        <w:right w:val="none" w:sz="0" w:space="0" w:color="auto"/>
      </w:divBdr>
    </w:div>
    <w:div w:id="438526518">
      <w:bodyDiv w:val="1"/>
      <w:marLeft w:val="0"/>
      <w:marRight w:val="0"/>
      <w:marTop w:val="0"/>
      <w:marBottom w:val="0"/>
      <w:divBdr>
        <w:top w:val="none" w:sz="0" w:space="0" w:color="auto"/>
        <w:left w:val="none" w:sz="0" w:space="0" w:color="auto"/>
        <w:bottom w:val="none" w:sz="0" w:space="0" w:color="auto"/>
        <w:right w:val="none" w:sz="0" w:space="0" w:color="auto"/>
      </w:divBdr>
    </w:div>
    <w:div w:id="487206772">
      <w:bodyDiv w:val="1"/>
      <w:marLeft w:val="0"/>
      <w:marRight w:val="0"/>
      <w:marTop w:val="0"/>
      <w:marBottom w:val="0"/>
      <w:divBdr>
        <w:top w:val="none" w:sz="0" w:space="0" w:color="auto"/>
        <w:left w:val="none" w:sz="0" w:space="0" w:color="auto"/>
        <w:bottom w:val="none" w:sz="0" w:space="0" w:color="auto"/>
        <w:right w:val="none" w:sz="0" w:space="0" w:color="auto"/>
      </w:divBdr>
    </w:div>
    <w:div w:id="1247035507">
      <w:bodyDiv w:val="1"/>
      <w:marLeft w:val="0"/>
      <w:marRight w:val="0"/>
      <w:marTop w:val="0"/>
      <w:marBottom w:val="0"/>
      <w:divBdr>
        <w:top w:val="none" w:sz="0" w:space="0" w:color="auto"/>
        <w:left w:val="none" w:sz="0" w:space="0" w:color="auto"/>
        <w:bottom w:val="none" w:sz="0" w:space="0" w:color="auto"/>
        <w:right w:val="none" w:sz="0" w:space="0" w:color="auto"/>
      </w:divBdr>
    </w:div>
    <w:div w:id="1324240698">
      <w:bodyDiv w:val="1"/>
      <w:marLeft w:val="0"/>
      <w:marRight w:val="0"/>
      <w:marTop w:val="0"/>
      <w:marBottom w:val="0"/>
      <w:divBdr>
        <w:top w:val="none" w:sz="0" w:space="0" w:color="auto"/>
        <w:left w:val="none" w:sz="0" w:space="0" w:color="auto"/>
        <w:bottom w:val="none" w:sz="0" w:space="0" w:color="auto"/>
        <w:right w:val="none" w:sz="0" w:space="0" w:color="auto"/>
      </w:divBdr>
    </w:div>
    <w:div w:id="1496648344">
      <w:bodyDiv w:val="1"/>
      <w:marLeft w:val="0"/>
      <w:marRight w:val="0"/>
      <w:marTop w:val="0"/>
      <w:marBottom w:val="0"/>
      <w:divBdr>
        <w:top w:val="none" w:sz="0" w:space="0" w:color="auto"/>
        <w:left w:val="none" w:sz="0" w:space="0" w:color="auto"/>
        <w:bottom w:val="none" w:sz="0" w:space="0" w:color="auto"/>
        <w:right w:val="none" w:sz="0" w:space="0" w:color="auto"/>
      </w:divBdr>
    </w:div>
    <w:div w:id="1895040007">
      <w:bodyDiv w:val="1"/>
      <w:marLeft w:val="0"/>
      <w:marRight w:val="0"/>
      <w:marTop w:val="0"/>
      <w:marBottom w:val="0"/>
      <w:divBdr>
        <w:top w:val="none" w:sz="0" w:space="0" w:color="auto"/>
        <w:left w:val="none" w:sz="0" w:space="0" w:color="auto"/>
        <w:bottom w:val="none" w:sz="0" w:space="0" w:color="auto"/>
        <w:right w:val="none" w:sz="0" w:space="0" w:color="auto"/>
      </w:divBdr>
    </w:div>
    <w:div w:id="2000884462">
      <w:bodyDiv w:val="1"/>
      <w:marLeft w:val="0"/>
      <w:marRight w:val="0"/>
      <w:marTop w:val="0"/>
      <w:marBottom w:val="0"/>
      <w:divBdr>
        <w:top w:val="none" w:sz="0" w:space="0" w:color="auto"/>
        <w:left w:val="none" w:sz="0" w:space="0" w:color="auto"/>
        <w:bottom w:val="none" w:sz="0" w:space="0" w:color="auto"/>
        <w:right w:val="none" w:sz="0" w:space="0" w:color="auto"/>
      </w:divBdr>
    </w:div>
    <w:div w:id="2069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7DC8813B2D2E4AA48503A287B1EFB5" ma:contentTypeVersion="19" ma:contentTypeDescription="Vytvoří nový dokument" ma:contentTypeScope="" ma:versionID="b348fc75f7c6efafecfbf7a13126c65a">
  <xsd:schema xmlns:xsd="http://www.w3.org/2001/XMLSchema" xmlns:xs="http://www.w3.org/2001/XMLSchema" xmlns:p="http://schemas.microsoft.com/office/2006/metadata/properties" xmlns:ns2="3e09e844-f042-4dc2-9439-935629a130fa" xmlns:ns3="e2dea37d-d046-4122-8fea-8d1e55991c8b" targetNamespace="http://schemas.microsoft.com/office/2006/metadata/properties" ma:root="true" ma:fieldsID="e3d4d12581b13cadc4b3b4aaf956d99d" ns2:_="" ns3:_="">
    <xsd:import namespace="3e09e844-f042-4dc2-9439-935629a130fa"/>
    <xsd:import namespace="e2dea37d-d046-4122-8fea-8d1e55991c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9e844-f042-4dc2-9439-935629a130f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31c98bb4-a7f2-487e-8a40-c50380cbd436}" ma:internalName="TaxCatchAll" ma:showField="CatchAllData" ma:web="3e09e844-f042-4dc2-9439-935629a130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dea37d-d046-4122-8fea-8d1e55991c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428b9d7-f22f-41d7-9052-8b2c5341da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ea37d-d046-4122-8fea-8d1e55991c8b">
      <Terms xmlns="http://schemas.microsoft.com/office/infopath/2007/PartnerControls"/>
    </lcf76f155ced4ddcb4097134ff3c332f>
    <TaxCatchAll xmlns="3e09e844-f042-4dc2-9439-935629a130fa" xsi:nil="true"/>
  </documentManagement>
</p:properties>
</file>

<file path=customXml/itemProps1.xml><?xml version="1.0" encoding="utf-8"?>
<ds:datastoreItem xmlns:ds="http://schemas.openxmlformats.org/officeDocument/2006/customXml" ds:itemID="{CAA503CF-A017-41B5-A517-9A14AD6A6659}">
  <ds:schemaRefs>
    <ds:schemaRef ds:uri="http://schemas.microsoft.com/sharepoint/v3/contenttype/forms"/>
  </ds:schemaRefs>
</ds:datastoreItem>
</file>

<file path=customXml/itemProps2.xml><?xml version="1.0" encoding="utf-8"?>
<ds:datastoreItem xmlns:ds="http://schemas.openxmlformats.org/officeDocument/2006/customXml" ds:itemID="{03B0399D-9CE9-4AC6-9A5A-6292C9C69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9e844-f042-4dc2-9439-935629a130fa"/>
    <ds:schemaRef ds:uri="e2dea37d-d046-4122-8fea-8d1e55991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32ACC-083E-4F68-8DBD-6884148A747D}">
  <ds:schemaRefs>
    <ds:schemaRef ds:uri="http://schemas.microsoft.com/office/2006/metadata/properties"/>
    <ds:schemaRef ds:uri="http://schemas.microsoft.com/office/infopath/2007/PartnerControls"/>
    <ds:schemaRef ds:uri="e2dea37d-d046-4122-8fea-8d1e55991c8b"/>
    <ds:schemaRef ds:uri="3e09e844-f042-4dc2-9439-935629a130f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3463</Words>
  <Characters>20437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Zegermacherová</dc:creator>
  <cp:keywords/>
  <cp:lastModifiedBy>Monika Nová</cp:lastModifiedBy>
  <cp:revision>44</cp:revision>
  <cp:lastPrinted>2024-04-03T09:13:00Z</cp:lastPrinted>
  <dcterms:created xsi:type="dcterms:W3CDTF">2025-03-27T10:38:00Z</dcterms:created>
  <dcterms:modified xsi:type="dcterms:W3CDTF">2025-04-17T11:08:00Z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0x0101005C7DC8813B2D2E4AA48503A287B1EFB5</vt:lpwstr>
  </property>
  <property fmtid="{D5CDD505-2E9C-101B-9397-08002B2CF9AE}" pid="3" name="MediaServiceImageTags">
    <vt:lpwstr/>
  </property>
</Properties>
</file>