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A1E3" w14:textId="67D551B3" w:rsidR="000647BC" w:rsidRDefault="000647BC" w:rsidP="003A3E45">
      <w:pPr>
        <w:tabs>
          <w:tab w:val="left" w:pos="7371"/>
        </w:tabs>
        <w:jc w:val="center"/>
        <w:rPr>
          <w:rFonts w:ascii="Times New Roman" w:hAnsi="Times New Roman" w:cs="Times New Roman"/>
          <w:b/>
          <w:bCs/>
          <w:sz w:val="36"/>
          <w:szCs w:val="36"/>
        </w:rPr>
      </w:pPr>
      <w:r w:rsidRPr="003A3E45">
        <w:rPr>
          <w:rFonts w:ascii="Times New Roman" w:hAnsi="Times New Roman" w:cs="Times New Roman"/>
          <w:b/>
          <w:bCs/>
          <w:sz w:val="36"/>
          <w:szCs w:val="36"/>
        </w:rPr>
        <w:t>VÝZVA K PODÁNÍ NABÍDKY</w:t>
      </w:r>
    </w:p>
    <w:p w14:paraId="7DAC3AFB" w14:textId="77777777" w:rsidR="00464097" w:rsidRPr="003A3E45" w:rsidRDefault="00464097" w:rsidP="003A3E45">
      <w:pPr>
        <w:tabs>
          <w:tab w:val="left" w:pos="7371"/>
        </w:tabs>
        <w:jc w:val="center"/>
        <w:rPr>
          <w:rFonts w:ascii="Times New Roman" w:hAnsi="Times New Roman" w:cs="Times New Roman"/>
          <w:b/>
          <w:bCs/>
          <w:sz w:val="36"/>
          <w:szCs w:val="36"/>
        </w:rPr>
      </w:pPr>
    </w:p>
    <w:p w14:paraId="66F533E9" w14:textId="535FB228" w:rsidR="00464097" w:rsidRDefault="00E47C1D" w:rsidP="003A3E45">
      <w:pPr>
        <w:ind w:firstLine="708"/>
        <w:jc w:val="center"/>
        <w:rPr>
          <w:rFonts w:ascii="Times New Roman" w:hAnsi="Times New Roman" w:cs="Times New Roman"/>
          <w:b/>
          <w:bCs/>
          <w:sz w:val="36"/>
          <w:szCs w:val="36"/>
        </w:rPr>
      </w:pPr>
      <w:r>
        <w:rPr>
          <w:rFonts w:ascii="Times New Roman" w:hAnsi="Times New Roman" w:cs="Times New Roman"/>
          <w:b/>
          <w:bCs/>
          <w:sz w:val="36"/>
          <w:szCs w:val="36"/>
        </w:rPr>
        <w:t xml:space="preserve">DUSP </w:t>
      </w:r>
      <w:r w:rsidR="00891B4C">
        <w:rPr>
          <w:rFonts w:ascii="Times New Roman" w:hAnsi="Times New Roman" w:cs="Times New Roman"/>
          <w:b/>
          <w:bCs/>
          <w:sz w:val="36"/>
          <w:szCs w:val="36"/>
        </w:rPr>
        <w:t xml:space="preserve">a inženýring - </w:t>
      </w:r>
      <w:r w:rsidR="00577338" w:rsidRPr="003A3E45">
        <w:rPr>
          <w:rFonts w:ascii="Times New Roman" w:hAnsi="Times New Roman" w:cs="Times New Roman"/>
          <w:b/>
          <w:bCs/>
          <w:sz w:val="36"/>
          <w:szCs w:val="36"/>
        </w:rPr>
        <w:t xml:space="preserve">Cyklostezka A50 </w:t>
      </w:r>
    </w:p>
    <w:p w14:paraId="303002A0" w14:textId="1A667077" w:rsidR="00577338" w:rsidRDefault="00577338" w:rsidP="003A3E45">
      <w:pPr>
        <w:ind w:firstLine="708"/>
        <w:jc w:val="center"/>
        <w:rPr>
          <w:rFonts w:ascii="Times New Roman" w:hAnsi="Times New Roman" w:cs="Times New Roman"/>
          <w:b/>
          <w:bCs/>
          <w:sz w:val="36"/>
          <w:szCs w:val="36"/>
        </w:rPr>
      </w:pPr>
      <w:r w:rsidRPr="003A3E45">
        <w:rPr>
          <w:rFonts w:ascii="Times New Roman" w:hAnsi="Times New Roman" w:cs="Times New Roman"/>
          <w:b/>
          <w:bCs/>
          <w:sz w:val="36"/>
          <w:szCs w:val="36"/>
        </w:rPr>
        <w:t>- podchod Stoliňská</w:t>
      </w:r>
    </w:p>
    <w:p w14:paraId="537E4707" w14:textId="77777777" w:rsidR="003A3E45" w:rsidRDefault="003A3E45" w:rsidP="003A3E45">
      <w:pPr>
        <w:tabs>
          <w:tab w:val="left" w:pos="7371"/>
        </w:tabs>
        <w:spacing w:line="240" w:lineRule="auto"/>
        <w:jc w:val="center"/>
        <w:rPr>
          <w:rFonts w:ascii="Times New Roman" w:hAnsi="Times New Roman" w:cs="Times New Roman"/>
        </w:rPr>
      </w:pPr>
    </w:p>
    <w:p w14:paraId="2F3DFDB3" w14:textId="5BBB10EF" w:rsidR="000647BC" w:rsidRPr="003A3E45" w:rsidRDefault="000647BC" w:rsidP="003A3E45">
      <w:pPr>
        <w:tabs>
          <w:tab w:val="left" w:pos="7371"/>
        </w:tabs>
        <w:spacing w:line="240" w:lineRule="auto"/>
        <w:jc w:val="center"/>
        <w:rPr>
          <w:rFonts w:ascii="Times New Roman" w:hAnsi="Times New Roman" w:cs="Times New Roman"/>
        </w:rPr>
      </w:pPr>
      <w:r w:rsidRPr="003A3E45">
        <w:rPr>
          <w:rFonts w:ascii="Times New Roman" w:hAnsi="Times New Roman" w:cs="Times New Roman"/>
        </w:rPr>
        <w:t>zakázk</w:t>
      </w:r>
      <w:r w:rsidR="00EE4351" w:rsidRPr="003A3E45">
        <w:rPr>
          <w:rFonts w:ascii="Times New Roman" w:hAnsi="Times New Roman" w:cs="Times New Roman"/>
        </w:rPr>
        <w:t>a</w:t>
      </w:r>
      <w:r w:rsidRPr="003A3E45">
        <w:rPr>
          <w:rFonts w:ascii="Times New Roman" w:hAnsi="Times New Roman" w:cs="Times New Roman"/>
        </w:rPr>
        <w:t xml:space="preserve"> malého rozsahu</w:t>
      </w:r>
      <w:r w:rsidR="00EE4351" w:rsidRPr="003A3E45">
        <w:rPr>
          <w:rFonts w:ascii="Times New Roman" w:hAnsi="Times New Roman" w:cs="Times New Roman"/>
        </w:rPr>
        <w:t xml:space="preserve"> zadávané bez výběrového řízení</w:t>
      </w:r>
    </w:p>
    <w:p w14:paraId="783A89F3" w14:textId="77777777" w:rsidR="00EE4351" w:rsidRPr="003A3E45" w:rsidRDefault="00EE4351" w:rsidP="003A3E45">
      <w:pPr>
        <w:tabs>
          <w:tab w:val="left" w:pos="7371"/>
        </w:tabs>
        <w:spacing w:line="240" w:lineRule="auto"/>
        <w:jc w:val="center"/>
        <w:rPr>
          <w:rFonts w:ascii="Times New Roman" w:hAnsi="Times New Roman" w:cs="Times New Roman"/>
        </w:rPr>
      </w:pPr>
      <w:r w:rsidRPr="003A3E45">
        <w:rPr>
          <w:rFonts w:ascii="Times New Roman" w:hAnsi="Times New Roman" w:cs="Times New Roman"/>
        </w:rPr>
        <w:t>dle Směrnice o zadávání veřejných zakázek malého rozsahu č. 4/2020</w:t>
      </w:r>
    </w:p>
    <w:p w14:paraId="78CB2BE1" w14:textId="77777777" w:rsidR="000647BC" w:rsidRDefault="000647BC" w:rsidP="000647BC">
      <w:pPr>
        <w:jc w:val="center"/>
        <w:rPr>
          <w:rFonts w:ascii="Times New Roman" w:hAnsi="Times New Roman" w:cs="Times New Roman"/>
          <w:sz w:val="32"/>
          <w:szCs w:val="32"/>
        </w:rPr>
      </w:pPr>
    </w:p>
    <w:p w14:paraId="255F59A4" w14:textId="38ED9346" w:rsidR="00EE4351" w:rsidRDefault="00EE4351" w:rsidP="000647BC">
      <w:pPr>
        <w:jc w:val="center"/>
        <w:rPr>
          <w:rFonts w:ascii="Times New Roman" w:hAnsi="Times New Roman" w:cs="Times New Roman"/>
          <w:sz w:val="32"/>
          <w:szCs w:val="32"/>
        </w:rPr>
      </w:pPr>
    </w:p>
    <w:p w14:paraId="0D37BE32" w14:textId="77777777" w:rsidR="00861FB1" w:rsidRPr="002D70E1" w:rsidRDefault="00861FB1" w:rsidP="000647BC">
      <w:pPr>
        <w:jc w:val="center"/>
        <w:rPr>
          <w:rFonts w:ascii="Times New Roman" w:hAnsi="Times New Roman" w:cs="Times New Roman"/>
          <w:sz w:val="32"/>
          <w:szCs w:val="32"/>
        </w:rPr>
      </w:pPr>
    </w:p>
    <w:p w14:paraId="55FEA8A4"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5988108"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669AE77F" w14:textId="5AE0F4A4" w:rsidR="00ED4E0B" w:rsidRPr="00DB24A8" w:rsidRDefault="00861FB1" w:rsidP="00DB24A8">
      <w:pPr>
        <w:pStyle w:val="Tlotextu"/>
        <w:ind w:left="360"/>
        <w:jc w:val="left"/>
        <w:rPr>
          <w:rFonts w:ascii="Times New Roman" w:hAnsi="Times New Roman" w:cs="Times New Roman"/>
          <w:szCs w:val="24"/>
        </w:rPr>
      </w:pPr>
      <w:r>
        <w:rPr>
          <w:rFonts w:ascii="Times New Roman" w:hAnsi="Times New Roman" w:cs="Times New Roman"/>
          <w:szCs w:val="24"/>
        </w:rPr>
        <w:t xml:space="preserve">Se sídlem: </w:t>
      </w:r>
      <w:r w:rsidR="00ED4E0B" w:rsidRPr="00DB24A8">
        <w:rPr>
          <w:rFonts w:ascii="Times New Roman" w:hAnsi="Times New Roman" w:cs="Times New Roman"/>
          <w:szCs w:val="24"/>
        </w:rPr>
        <w:t>Bohdanečská 97, 190 17 Praha – Vinoř</w:t>
      </w:r>
    </w:p>
    <w:p w14:paraId="5FAFD9F0"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7848AE1E"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174C9E40" w14:textId="307C8ABF" w:rsidR="00ED4E0B" w:rsidRDefault="00ED4E0B" w:rsidP="000647BC">
      <w:pPr>
        <w:rPr>
          <w:rFonts w:ascii="Times New Roman" w:hAnsi="Times New Roman" w:cs="Times New Roman"/>
          <w:sz w:val="24"/>
          <w:szCs w:val="24"/>
        </w:rPr>
      </w:pPr>
    </w:p>
    <w:p w14:paraId="34E390A9" w14:textId="77777777" w:rsidR="00861FB1" w:rsidRPr="00DB24A8" w:rsidRDefault="00861FB1" w:rsidP="000647BC">
      <w:pPr>
        <w:rPr>
          <w:rFonts w:ascii="Times New Roman" w:hAnsi="Times New Roman" w:cs="Times New Roman"/>
          <w:sz w:val="24"/>
          <w:szCs w:val="24"/>
        </w:rPr>
      </w:pPr>
    </w:p>
    <w:p w14:paraId="715FBF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w:t>
      </w:r>
    </w:p>
    <w:p w14:paraId="01987CAF" w14:textId="77777777" w:rsidR="00861FB1" w:rsidRPr="00861FB1" w:rsidRDefault="00ED4E0B" w:rsidP="00DB24A8">
      <w:pPr>
        <w:pStyle w:val="Tlotextu"/>
        <w:ind w:firstLine="360"/>
        <w:jc w:val="left"/>
        <w:rPr>
          <w:rFonts w:ascii="Times New Roman" w:hAnsi="Times New Roman" w:cs="Times New Roman"/>
          <w:szCs w:val="24"/>
        </w:rPr>
      </w:pPr>
      <w:r w:rsidRPr="00861FB1">
        <w:rPr>
          <w:rFonts w:ascii="Times New Roman" w:hAnsi="Times New Roman" w:cs="Times New Roman"/>
          <w:szCs w:val="24"/>
        </w:rPr>
        <w:t xml:space="preserve">Ing. Michal Biskup, </w:t>
      </w:r>
    </w:p>
    <w:p w14:paraId="177292B9" w14:textId="66B0DCD4" w:rsidR="00861FB1" w:rsidRPr="00861FB1" w:rsidRDefault="000647BC" w:rsidP="00DB24A8">
      <w:pPr>
        <w:pStyle w:val="Tlotextu"/>
        <w:ind w:firstLine="360"/>
        <w:jc w:val="left"/>
        <w:rPr>
          <w:rFonts w:ascii="Times New Roman" w:hAnsi="Times New Roman" w:cs="Times New Roman"/>
          <w:szCs w:val="24"/>
        </w:rPr>
      </w:pPr>
      <w:r w:rsidRPr="00861FB1">
        <w:rPr>
          <w:rFonts w:ascii="Times New Roman" w:hAnsi="Times New Roman" w:cs="Times New Roman"/>
          <w:szCs w:val="24"/>
        </w:rPr>
        <w:t>e-mail</w:t>
      </w:r>
      <w:r w:rsidR="00ED4E0B" w:rsidRPr="00861FB1">
        <w:rPr>
          <w:rFonts w:ascii="Times New Roman" w:hAnsi="Times New Roman" w:cs="Times New Roman"/>
          <w:szCs w:val="24"/>
        </w:rPr>
        <w:t xml:space="preserve"> </w:t>
      </w:r>
      <w:hyperlink r:id="rId5" w:history="1">
        <w:r w:rsidR="00ED4E0B" w:rsidRPr="00861FB1">
          <w:rPr>
            <w:rStyle w:val="Hypertextovodkaz"/>
            <w:rFonts w:ascii="Times New Roman" w:hAnsi="Times New Roman" w:cs="Times New Roman"/>
            <w:color w:val="auto"/>
            <w:szCs w:val="24"/>
          </w:rPr>
          <w:t>michal.biskup@praha-vinor.cz</w:t>
        </w:r>
      </w:hyperlink>
    </w:p>
    <w:p w14:paraId="014A8762" w14:textId="21737DE1" w:rsidR="00ED4E0B" w:rsidRPr="00861FB1" w:rsidRDefault="000647BC" w:rsidP="00DB24A8">
      <w:pPr>
        <w:pStyle w:val="Tlotextu"/>
        <w:ind w:firstLine="360"/>
        <w:jc w:val="left"/>
        <w:rPr>
          <w:rFonts w:ascii="Times New Roman" w:hAnsi="Times New Roman" w:cs="Times New Roman"/>
          <w:szCs w:val="24"/>
        </w:rPr>
      </w:pPr>
      <w:r w:rsidRPr="00861FB1">
        <w:rPr>
          <w:rFonts w:ascii="Times New Roman" w:hAnsi="Times New Roman" w:cs="Times New Roman"/>
          <w:szCs w:val="24"/>
        </w:rPr>
        <w:t>tel</w:t>
      </w:r>
      <w:r w:rsidR="00837EB5" w:rsidRPr="00861FB1">
        <w:rPr>
          <w:rFonts w:ascii="Times New Roman" w:hAnsi="Times New Roman" w:cs="Times New Roman"/>
          <w:szCs w:val="24"/>
        </w:rPr>
        <w:t>:</w:t>
      </w:r>
      <w:r w:rsidR="00ED4E0B" w:rsidRPr="00861FB1">
        <w:rPr>
          <w:rFonts w:ascii="Times New Roman" w:hAnsi="Times New Roman" w:cs="Times New Roman"/>
          <w:b/>
          <w:bCs/>
          <w:szCs w:val="24"/>
        </w:rPr>
        <w:t xml:space="preserve"> </w:t>
      </w:r>
      <w:r w:rsidR="00ED4E0B" w:rsidRPr="00861FB1">
        <w:rPr>
          <w:rFonts w:ascii="Times New Roman" w:hAnsi="Times New Roman" w:cs="Times New Roman"/>
          <w:szCs w:val="24"/>
        </w:rPr>
        <w:t>286 851</w:t>
      </w:r>
      <w:r w:rsidR="0028290C" w:rsidRPr="00861FB1">
        <w:rPr>
          <w:rFonts w:ascii="Times New Roman" w:hAnsi="Times New Roman" w:cs="Times New Roman"/>
          <w:szCs w:val="24"/>
        </w:rPr>
        <w:t> </w:t>
      </w:r>
      <w:r w:rsidR="00ED4E0B" w:rsidRPr="00861FB1">
        <w:rPr>
          <w:rFonts w:ascii="Times New Roman" w:hAnsi="Times New Roman" w:cs="Times New Roman"/>
          <w:szCs w:val="24"/>
        </w:rPr>
        <w:t>114</w:t>
      </w:r>
    </w:p>
    <w:p w14:paraId="23385B33" w14:textId="77777777" w:rsidR="0028290C" w:rsidRPr="00DB24A8" w:rsidRDefault="0028290C" w:rsidP="00DB24A8">
      <w:pPr>
        <w:pStyle w:val="Tlotextu"/>
        <w:ind w:firstLine="360"/>
        <w:jc w:val="left"/>
        <w:rPr>
          <w:rFonts w:ascii="Times New Roman" w:hAnsi="Times New Roman" w:cs="Times New Roman"/>
          <w:b/>
          <w:bCs/>
          <w:color w:val="575757"/>
          <w:szCs w:val="24"/>
        </w:rPr>
      </w:pPr>
    </w:p>
    <w:p w14:paraId="440F6787" w14:textId="193183FB" w:rsidR="00ED4E0B" w:rsidRDefault="00ED4E0B" w:rsidP="00ED4E0B">
      <w:pPr>
        <w:pStyle w:val="Tlotextu"/>
        <w:jc w:val="left"/>
        <w:rPr>
          <w:rFonts w:ascii="Times New Roman" w:hAnsi="Times New Roman" w:cs="Times New Roman"/>
          <w:b/>
          <w:bCs/>
          <w:color w:val="575757"/>
          <w:szCs w:val="24"/>
        </w:rPr>
      </w:pPr>
    </w:p>
    <w:p w14:paraId="1BA0ECD5" w14:textId="77777777" w:rsidR="00861FB1" w:rsidRPr="00DB24A8" w:rsidRDefault="00861FB1" w:rsidP="00ED4E0B">
      <w:pPr>
        <w:pStyle w:val="Tlotextu"/>
        <w:jc w:val="left"/>
        <w:rPr>
          <w:rFonts w:ascii="Times New Roman" w:hAnsi="Times New Roman" w:cs="Times New Roman"/>
          <w:b/>
          <w:bCs/>
          <w:color w:val="575757"/>
          <w:szCs w:val="24"/>
        </w:rPr>
      </w:pPr>
    </w:p>
    <w:p w14:paraId="1E038DA2"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095D4B15" w14:textId="77777777" w:rsidR="0028290C" w:rsidRPr="00E15907" w:rsidRDefault="0028290C" w:rsidP="0028290C">
      <w:pPr>
        <w:pStyle w:val="Tlotextu"/>
        <w:ind w:left="1080"/>
        <w:jc w:val="left"/>
        <w:rPr>
          <w:rFonts w:ascii="Times New Roman" w:hAnsi="Times New Roman" w:cs="Times New Roman"/>
          <w:bCs/>
          <w:szCs w:val="24"/>
        </w:rPr>
      </w:pPr>
    </w:p>
    <w:p w14:paraId="5B162631" w14:textId="1E46FEB4" w:rsidR="005706DE" w:rsidRPr="00861FB1" w:rsidRDefault="000647BC" w:rsidP="005706DE">
      <w:pPr>
        <w:autoSpaceDE w:val="0"/>
        <w:autoSpaceDN w:val="0"/>
        <w:adjustRightInd w:val="0"/>
        <w:spacing w:after="0" w:line="240" w:lineRule="auto"/>
        <w:ind w:left="360"/>
        <w:jc w:val="both"/>
        <w:rPr>
          <w:rFonts w:ascii="Times New Roman" w:hAnsi="Times New Roman" w:cs="Times New Roman"/>
          <w:bCs/>
          <w:sz w:val="24"/>
          <w:szCs w:val="24"/>
        </w:rPr>
      </w:pPr>
      <w:r w:rsidRPr="00E15907">
        <w:rPr>
          <w:rFonts w:ascii="Times New Roman" w:hAnsi="Times New Roman" w:cs="Times New Roman"/>
          <w:bCs/>
          <w:szCs w:val="24"/>
        </w:rPr>
        <w:t xml:space="preserve">Zadavatel </w:t>
      </w:r>
      <w:r w:rsidR="005706DE" w:rsidRPr="00E15907">
        <w:rPr>
          <w:rFonts w:ascii="Times New Roman" w:hAnsi="Times New Roman" w:cs="Times New Roman"/>
          <w:bCs/>
          <w:szCs w:val="24"/>
        </w:rPr>
        <w:t xml:space="preserve">vyzývá uchazeče k podání nabídky </w:t>
      </w:r>
      <w:r w:rsidR="005706DE" w:rsidRPr="00E15907">
        <w:rPr>
          <w:rFonts w:ascii="Times New Roman" w:hAnsi="Times New Roman" w:cs="Times New Roman"/>
          <w:bCs/>
          <w:sz w:val="24"/>
          <w:szCs w:val="24"/>
        </w:rPr>
        <w:t xml:space="preserve">v souladu se Směrnicí o zadávání veřejných </w:t>
      </w:r>
      <w:r w:rsidR="005706DE" w:rsidRPr="00861FB1">
        <w:rPr>
          <w:rFonts w:ascii="Times New Roman" w:hAnsi="Times New Roman" w:cs="Times New Roman"/>
          <w:bCs/>
          <w:sz w:val="24"/>
          <w:szCs w:val="24"/>
        </w:rPr>
        <w:t>zakázek malého rozsahu č. 4/202</w:t>
      </w:r>
      <w:r w:rsidR="00EE4351" w:rsidRPr="00861FB1">
        <w:rPr>
          <w:rFonts w:ascii="Times New Roman" w:hAnsi="Times New Roman" w:cs="Times New Roman"/>
          <w:bCs/>
          <w:sz w:val="24"/>
          <w:szCs w:val="24"/>
        </w:rPr>
        <w:t>0</w:t>
      </w:r>
      <w:r w:rsidR="005706DE" w:rsidRPr="00861FB1">
        <w:rPr>
          <w:rFonts w:ascii="Times New Roman" w:hAnsi="Times New Roman" w:cs="Times New Roman"/>
          <w:bCs/>
          <w:sz w:val="24"/>
          <w:szCs w:val="24"/>
        </w:rPr>
        <w:t xml:space="preserve">, </w:t>
      </w:r>
      <w:r w:rsidR="00861FB1">
        <w:rPr>
          <w:rFonts w:ascii="Times New Roman" w:hAnsi="Times New Roman" w:cs="Times New Roman"/>
          <w:bCs/>
          <w:sz w:val="24"/>
          <w:szCs w:val="24"/>
        </w:rPr>
        <w:t xml:space="preserve">ve znění dodatku č. 1, </w:t>
      </w:r>
      <w:r w:rsidR="005706DE" w:rsidRPr="00861FB1">
        <w:rPr>
          <w:rFonts w:ascii="Times New Roman" w:hAnsi="Times New Roman" w:cs="Times New Roman"/>
          <w:bCs/>
          <w:sz w:val="24"/>
          <w:szCs w:val="24"/>
        </w:rPr>
        <w:t xml:space="preserve">a to v kategorii </w:t>
      </w:r>
      <w:r w:rsidR="00E45E78">
        <w:rPr>
          <w:rFonts w:ascii="Times New Roman" w:hAnsi="Times New Roman" w:cs="Times New Roman"/>
          <w:bCs/>
          <w:sz w:val="24"/>
          <w:szCs w:val="24"/>
        </w:rPr>
        <w:t>I</w:t>
      </w:r>
      <w:r w:rsidR="005706DE" w:rsidRPr="00861FB1">
        <w:rPr>
          <w:rFonts w:ascii="Times New Roman" w:hAnsi="Times New Roman" w:cs="Times New Roman"/>
          <w:bCs/>
          <w:sz w:val="24"/>
          <w:szCs w:val="24"/>
        </w:rPr>
        <w:t xml:space="preserve">I. nadepsané směrnice. </w:t>
      </w:r>
    </w:p>
    <w:p w14:paraId="7BC3FD2A" w14:textId="77777777" w:rsidR="005706DE" w:rsidRPr="00861FB1" w:rsidRDefault="005706DE" w:rsidP="005706DE">
      <w:pPr>
        <w:autoSpaceDE w:val="0"/>
        <w:autoSpaceDN w:val="0"/>
        <w:adjustRightInd w:val="0"/>
        <w:spacing w:after="0" w:line="240" w:lineRule="auto"/>
        <w:jc w:val="both"/>
        <w:rPr>
          <w:rFonts w:ascii="Times New Roman" w:hAnsi="Times New Roman" w:cs="Times New Roman"/>
          <w:b/>
          <w:sz w:val="24"/>
          <w:szCs w:val="24"/>
        </w:rPr>
      </w:pPr>
    </w:p>
    <w:p w14:paraId="6EBCB252" w14:textId="6DC08F02" w:rsidR="00DB24A8" w:rsidRDefault="000647BC" w:rsidP="00D50A49">
      <w:pPr>
        <w:pStyle w:val="Tlotextu"/>
        <w:ind w:left="360"/>
        <w:jc w:val="both"/>
        <w:rPr>
          <w:rFonts w:ascii="Times New Roman" w:hAnsi="Times New Roman" w:cs="Times New Roman"/>
          <w:szCs w:val="24"/>
        </w:rPr>
      </w:pPr>
      <w:r w:rsidRPr="00861FB1">
        <w:rPr>
          <w:rFonts w:ascii="Times New Roman" w:hAnsi="Times New Roman" w:cs="Times New Roman"/>
          <w:szCs w:val="24"/>
        </w:rPr>
        <w:t>Tato výzva k podání nabídky včetně jejich příloh je uveřejněna na webových stránkách Měst</w:t>
      </w:r>
      <w:r w:rsidR="00ED4E0B" w:rsidRPr="00861FB1">
        <w:rPr>
          <w:rFonts w:ascii="Times New Roman" w:hAnsi="Times New Roman" w:cs="Times New Roman"/>
          <w:szCs w:val="24"/>
        </w:rPr>
        <w:t>ské části Praha Vinoř</w:t>
      </w:r>
      <w:r w:rsidRPr="00861FB1">
        <w:rPr>
          <w:rFonts w:ascii="Times New Roman" w:hAnsi="Times New Roman" w:cs="Times New Roman"/>
          <w:szCs w:val="24"/>
        </w:rPr>
        <w:t>: http://</w:t>
      </w:r>
      <w:r w:rsidR="00ED4E0B" w:rsidRPr="00861FB1">
        <w:rPr>
          <w:rFonts w:ascii="Times New Roman" w:hAnsi="Times New Roman" w:cs="Times New Roman"/>
          <w:szCs w:val="24"/>
        </w:rPr>
        <w:t xml:space="preserve"> </w:t>
      </w:r>
      <w:hyperlink r:id="rId6" w:history="1">
        <w:r w:rsidR="00ED4E0B" w:rsidRPr="00861FB1">
          <w:rPr>
            <w:rStyle w:val="Hypertextovodkaz"/>
            <w:rFonts w:ascii="Times New Roman" w:hAnsi="Times New Roman" w:cs="Times New Roman"/>
            <w:szCs w:val="24"/>
          </w:rPr>
          <w:t>https://www.praha-vinor.cz</w:t>
        </w:r>
      </w:hyperlink>
      <w:r w:rsidR="00ED4E0B" w:rsidRPr="00861FB1">
        <w:rPr>
          <w:rFonts w:ascii="Times New Roman" w:hAnsi="Times New Roman" w:cs="Times New Roman"/>
          <w:szCs w:val="24"/>
        </w:rPr>
        <w:t xml:space="preserve"> </w:t>
      </w:r>
      <w:r w:rsidR="008A36F9">
        <w:rPr>
          <w:rFonts w:ascii="Times New Roman" w:hAnsi="Times New Roman" w:cs="Times New Roman"/>
          <w:szCs w:val="24"/>
        </w:rPr>
        <w:t>.</w:t>
      </w:r>
    </w:p>
    <w:p w14:paraId="23B19BE2" w14:textId="77777777" w:rsidR="00D50A49" w:rsidRPr="00E15907" w:rsidRDefault="00D50A49" w:rsidP="00D50A49">
      <w:pPr>
        <w:pStyle w:val="Tlotextu"/>
        <w:ind w:left="360"/>
        <w:jc w:val="both"/>
        <w:rPr>
          <w:rFonts w:ascii="Times New Roman" w:hAnsi="Times New Roman" w:cs="Times New Roman"/>
          <w:szCs w:val="24"/>
        </w:rPr>
      </w:pPr>
    </w:p>
    <w:p w14:paraId="314CDB89" w14:textId="6C8ED748" w:rsidR="00861FB1" w:rsidRDefault="000647BC" w:rsidP="00861FB1">
      <w:pPr>
        <w:pStyle w:val="Tlotextu"/>
        <w:ind w:left="360"/>
        <w:jc w:val="both"/>
        <w:rPr>
          <w:rFonts w:ascii="Times New Roman" w:hAnsi="Times New Roman" w:cs="Times New Roman"/>
          <w:szCs w:val="24"/>
        </w:rPr>
      </w:pPr>
      <w:r w:rsidRPr="00E15907">
        <w:rPr>
          <w:rFonts w:ascii="Times New Roman" w:hAnsi="Times New Roman" w:cs="Times New Roman"/>
          <w:szCs w:val="24"/>
        </w:rPr>
        <w:t xml:space="preserve">Veškeré informace jsou uvedeny v této výzvě. </w:t>
      </w:r>
    </w:p>
    <w:p w14:paraId="5811E2FB" w14:textId="4BA5C394" w:rsidR="00ED4E0B" w:rsidRPr="00E15907" w:rsidRDefault="000647BC" w:rsidP="00861FB1">
      <w:pPr>
        <w:pStyle w:val="Tlotextu"/>
        <w:ind w:left="360"/>
        <w:jc w:val="both"/>
        <w:rPr>
          <w:rFonts w:ascii="Times New Roman" w:hAnsi="Times New Roman" w:cs="Times New Roman"/>
          <w:szCs w:val="24"/>
        </w:rPr>
      </w:pPr>
      <w:r w:rsidRPr="00E15907">
        <w:rPr>
          <w:rFonts w:ascii="Times New Roman" w:hAnsi="Times New Roman" w:cs="Times New Roman"/>
          <w:szCs w:val="24"/>
        </w:rPr>
        <w:t xml:space="preserve">Zadávací dokumentace není samostatně pro tuto veřejnou zakázku vyhotovena. </w:t>
      </w:r>
    </w:p>
    <w:p w14:paraId="413DA64D" w14:textId="2E884EDE" w:rsidR="00DB24A8" w:rsidRDefault="00DB24A8" w:rsidP="00DB24A8">
      <w:pPr>
        <w:pStyle w:val="Odstavecseseznamem"/>
        <w:rPr>
          <w:rFonts w:ascii="Times New Roman" w:hAnsi="Times New Roman" w:cs="Times New Roman"/>
          <w:szCs w:val="24"/>
        </w:rPr>
      </w:pPr>
    </w:p>
    <w:p w14:paraId="2AD45189" w14:textId="77777777" w:rsidR="00ED4E0B" w:rsidRPr="00E15907" w:rsidRDefault="000647BC" w:rsidP="00ED4E0B">
      <w:pPr>
        <w:pStyle w:val="Tlotextu"/>
        <w:ind w:left="360"/>
        <w:jc w:val="both"/>
        <w:rPr>
          <w:rFonts w:ascii="Times New Roman" w:hAnsi="Times New Roman" w:cs="Times New Roman"/>
          <w:b/>
          <w:bCs/>
          <w:szCs w:val="24"/>
        </w:rPr>
      </w:pPr>
      <w:r w:rsidRPr="00E15907">
        <w:rPr>
          <w:rFonts w:ascii="Times New Roman" w:hAnsi="Times New Roman" w:cs="Times New Roman"/>
          <w:b/>
          <w:bCs/>
          <w:szCs w:val="24"/>
        </w:rPr>
        <w:t xml:space="preserve">V. NÁZEV A POPIS PŘEDMĚTU </w:t>
      </w:r>
      <w:r w:rsidR="00EE4351">
        <w:rPr>
          <w:rFonts w:ascii="Times New Roman" w:hAnsi="Times New Roman" w:cs="Times New Roman"/>
          <w:b/>
          <w:bCs/>
          <w:szCs w:val="24"/>
        </w:rPr>
        <w:t>VÝZVY</w:t>
      </w:r>
    </w:p>
    <w:p w14:paraId="2E48BA61" w14:textId="77777777" w:rsidR="00ED4E0B" w:rsidRPr="00E15907" w:rsidRDefault="00ED4E0B" w:rsidP="0029411B">
      <w:pPr>
        <w:pStyle w:val="Tlotextu"/>
        <w:ind w:left="360"/>
        <w:jc w:val="both"/>
        <w:rPr>
          <w:rFonts w:ascii="Times New Roman" w:hAnsi="Times New Roman" w:cs="Times New Roman"/>
          <w:szCs w:val="24"/>
        </w:rPr>
      </w:pPr>
    </w:p>
    <w:p w14:paraId="225E160F" w14:textId="0CB3C754" w:rsidR="00577338" w:rsidRDefault="000647BC" w:rsidP="00861FB1">
      <w:pPr>
        <w:ind w:left="360" w:firstLine="360"/>
        <w:rPr>
          <w:rFonts w:ascii="Times New Roman" w:hAnsi="Times New Roman" w:cs="Times New Roman"/>
          <w:b/>
          <w:bCs/>
          <w:sz w:val="24"/>
          <w:szCs w:val="24"/>
        </w:rPr>
      </w:pPr>
      <w:r w:rsidRPr="00E15907">
        <w:rPr>
          <w:rFonts w:ascii="Times New Roman" w:hAnsi="Times New Roman" w:cs="Times New Roman"/>
          <w:b/>
          <w:bCs/>
          <w:szCs w:val="24"/>
        </w:rPr>
        <w:t>A: Název:</w:t>
      </w:r>
      <w:r w:rsidRPr="00E15907">
        <w:rPr>
          <w:rFonts w:ascii="Times New Roman" w:hAnsi="Times New Roman" w:cs="Times New Roman"/>
          <w:szCs w:val="24"/>
        </w:rPr>
        <w:t xml:space="preserve"> </w:t>
      </w:r>
      <w:r w:rsidR="00891B4C">
        <w:rPr>
          <w:rFonts w:ascii="Times New Roman" w:hAnsi="Times New Roman" w:cs="Times New Roman"/>
          <w:szCs w:val="24"/>
        </w:rPr>
        <w:t xml:space="preserve">DUSP a inženýring </w:t>
      </w:r>
      <w:r w:rsidR="00DD65D9" w:rsidRPr="003A3E45">
        <w:rPr>
          <w:rFonts w:ascii="Times New Roman" w:hAnsi="Times New Roman" w:cs="Times New Roman"/>
          <w:sz w:val="24"/>
          <w:szCs w:val="24"/>
        </w:rPr>
        <w:t xml:space="preserve"> </w:t>
      </w:r>
      <w:r w:rsidR="00577338" w:rsidRPr="003A3E45">
        <w:rPr>
          <w:rFonts w:ascii="Times New Roman" w:hAnsi="Times New Roman" w:cs="Times New Roman"/>
          <w:sz w:val="24"/>
          <w:szCs w:val="24"/>
        </w:rPr>
        <w:t>Cyklostezka A50 - podchod Stoliňská</w:t>
      </w:r>
    </w:p>
    <w:p w14:paraId="51A842E1" w14:textId="75AC2C74" w:rsidR="00ED4E0B" w:rsidRPr="00E15907" w:rsidRDefault="000647BC" w:rsidP="00861FB1">
      <w:pPr>
        <w:ind w:left="1068" w:hanging="282"/>
        <w:jc w:val="both"/>
        <w:rPr>
          <w:rFonts w:ascii="Times New Roman" w:hAnsi="Times New Roman" w:cs="Times New Roman"/>
          <w:szCs w:val="24"/>
        </w:rPr>
      </w:pPr>
      <w:r w:rsidRPr="00E15907">
        <w:rPr>
          <w:rFonts w:ascii="Times New Roman" w:hAnsi="Times New Roman" w:cs="Times New Roman"/>
          <w:b/>
          <w:bCs/>
          <w:szCs w:val="24"/>
        </w:rPr>
        <w:t>B: Druh zakázky</w:t>
      </w:r>
      <w:r w:rsidRPr="00E15907">
        <w:rPr>
          <w:rFonts w:ascii="Times New Roman" w:hAnsi="Times New Roman" w:cs="Times New Roman"/>
          <w:szCs w:val="24"/>
        </w:rPr>
        <w:t xml:space="preserve">: dodávka </w:t>
      </w:r>
      <w:r w:rsidR="003A3E45">
        <w:rPr>
          <w:rFonts w:ascii="Times New Roman" w:hAnsi="Times New Roman" w:cs="Times New Roman"/>
          <w:szCs w:val="24"/>
        </w:rPr>
        <w:t xml:space="preserve">služeb </w:t>
      </w:r>
    </w:p>
    <w:p w14:paraId="3F1A8DE7" w14:textId="77777777" w:rsidR="00ED4E0B" w:rsidRPr="00E15907" w:rsidRDefault="003A198B" w:rsidP="00861FB1">
      <w:pPr>
        <w:pStyle w:val="Tlotextu"/>
        <w:ind w:left="720"/>
        <w:jc w:val="both"/>
        <w:rPr>
          <w:rFonts w:ascii="Times New Roman" w:hAnsi="Times New Roman" w:cs="Times New Roman"/>
          <w:b/>
          <w:bCs/>
          <w:szCs w:val="24"/>
        </w:rPr>
      </w:pPr>
      <w:r w:rsidRPr="00E15907">
        <w:rPr>
          <w:rFonts w:ascii="Times New Roman" w:hAnsi="Times New Roman" w:cs="Times New Roman"/>
          <w:b/>
          <w:bCs/>
          <w:szCs w:val="24"/>
        </w:rPr>
        <w:t xml:space="preserve"> </w:t>
      </w:r>
      <w:r w:rsidR="000647BC" w:rsidRPr="00E15907">
        <w:rPr>
          <w:rFonts w:ascii="Times New Roman" w:hAnsi="Times New Roman" w:cs="Times New Roman"/>
          <w:b/>
          <w:bCs/>
          <w:szCs w:val="24"/>
        </w:rPr>
        <w:t xml:space="preserve">C: Popis předmětu veřejné zakázky: </w:t>
      </w:r>
    </w:p>
    <w:p w14:paraId="78C29A6D" w14:textId="77777777" w:rsidR="00ED4E0B" w:rsidRPr="00E15907" w:rsidRDefault="00ED4E0B" w:rsidP="00ED4E0B">
      <w:pPr>
        <w:pStyle w:val="Tlotextu"/>
        <w:ind w:left="360"/>
        <w:jc w:val="both"/>
        <w:rPr>
          <w:rFonts w:ascii="Times New Roman" w:hAnsi="Times New Roman" w:cs="Times New Roman"/>
          <w:szCs w:val="24"/>
        </w:rPr>
      </w:pPr>
    </w:p>
    <w:p w14:paraId="0B0CBC00" w14:textId="77777777" w:rsidR="00DC76A7" w:rsidRPr="00DC76A7" w:rsidRDefault="00DC76A7" w:rsidP="00DC76A7">
      <w:pPr>
        <w:pStyle w:val="Normlnweb"/>
        <w:spacing w:before="0" w:beforeAutospacing="0" w:after="0" w:afterAutospacing="0"/>
        <w:ind w:left="709"/>
        <w:jc w:val="both"/>
        <w:rPr>
          <w:lang w:val="cs-CZ"/>
        </w:rPr>
      </w:pPr>
      <w:r w:rsidRPr="00DC76A7">
        <w:rPr>
          <w:lang w:val="cs-CZ"/>
        </w:rPr>
        <w:t>Předmětem veřejné zakázky "Cyklostezka A50 - podchod Stoliňská" je zpracování projektové dokumentace pro sloučené územní a stavební řízení, dále zpracování prováděcí dokumentace, inženýrská činnost a zajištění vydání společného povolení, zpracování výkazu výměr, kontrolního rozpočtu a výkon autorského dozoru při samotné realizaci stavby, a to dle požadavků zadavatele. </w:t>
      </w:r>
    </w:p>
    <w:p w14:paraId="0294F9A3" w14:textId="77777777" w:rsidR="00DC76A7" w:rsidRPr="00DC76A7" w:rsidRDefault="00DC76A7" w:rsidP="00DC76A7">
      <w:pPr>
        <w:pStyle w:val="Normlnweb"/>
        <w:spacing w:before="0" w:beforeAutospacing="0" w:after="0" w:afterAutospacing="0"/>
        <w:ind w:left="709"/>
        <w:jc w:val="both"/>
        <w:rPr>
          <w:lang w:val="cs-CZ"/>
        </w:rPr>
      </w:pPr>
      <w:r w:rsidRPr="00DC76A7">
        <w:rPr>
          <w:lang w:val="cs-CZ"/>
        </w:rPr>
        <w:t> </w:t>
      </w:r>
    </w:p>
    <w:p w14:paraId="0E5219C6" w14:textId="77777777" w:rsidR="00DC76A7" w:rsidRDefault="00DC76A7" w:rsidP="00DC76A7">
      <w:pPr>
        <w:pStyle w:val="Normlnweb"/>
        <w:spacing w:before="0" w:beforeAutospacing="0" w:after="0" w:afterAutospacing="0"/>
        <w:ind w:left="709"/>
        <w:jc w:val="both"/>
        <w:rPr>
          <w:lang w:val="cs-CZ"/>
        </w:rPr>
      </w:pPr>
      <w:r w:rsidRPr="00DC76A7">
        <w:rPr>
          <w:lang w:val="cs-CZ"/>
        </w:rPr>
        <w:t xml:space="preserve">Jedná se o podchod železniční trati v ulici Stoliňské, dále navazující úsek cyklostezky směrem k lávce přes D10, která je již projekčně řešena, a třetí částí je cyklostezka od místa ukončení lávky východním směrem k ulici Vlastibořské, kde bude ukončena. </w:t>
      </w:r>
    </w:p>
    <w:p w14:paraId="460F853F" w14:textId="77777777" w:rsidR="00DC76A7" w:rsidRDefault="00DC76A7" w:rsidP="00DC76A7">
      <w:pPr>
        <w:pStyle w:val="Normlnweb"/>
        <w:spacing w:before="0" w:beforeAutospacing="0" w:after="0" w:afterAutospacing="0"/>
        <w:ind w:left="709"/>
        <w:jc w:val="both"/>
        <w:rPr>
          <w:lang w:val="cs-CZ"/>
        </w:rPr>
      </w:pPr>
    </w:p>
    <w:p w14:paraId="72AC8B1A" w14:textId="77777777" w:rsidR="00DC76A7" w:rsidRDefault="00DC76A7" w:rsidP="00DC76A7">
      <w:pPr>
        <w:pStyle w:val="Normlnweb"/>
        <w:spacing w:before="0" w:beforeAutospacing="0" w:after="0" w:afterAutospacing="0"/>
        <w:ind w:left="709"/>
        <w:jc w:val="both"/>
        <w:rPr>
          <w:lang w:val="cs-CZ"/>
        </w:rPr>
      </w:pPr>
      <w:r w:rsidRPr="00DC76A7">
        <w:rPr>
          <w:lang w:val="cs-CZ"/>
        </w:rPr>
        <w:t xml:space="preserve">Polohové umístění podchodu bude respektovat studii zpracovanou firmou 4roads s.r.o. </w:t>
      </w:r>
    </w:p>
    <w:p w14:paraId="0D982DF4" w14:textId="77777777" w:rsidR="00DC76A7" w:rsidRDefault="00DC76A7" w:rsidP="00DC76A7">
      <w:pPr>
        <w:pStyle w:val="Normlnweb"/>
        <w:spacing w:before="0" w:beforeAutospacing="0" w:after="0" w:afterAutospacing="0"/>
        <w:ind w:left="709"/>
        <w:jc w:val="both"/>
        <w:rPr>
          <w:lang w:val="cs-CZ"/>
        </w:rPr>
      </w:pPr>
      <w:r w:rsidRPr="00DC76A7">
        <w:rPr>
          <w:lang w:val="cs-CZ"/>
        </w:rPr>
        <w:t xml:space="preserve">- Studie proveditelnosti Cyklostezka A50 - podchod Stoliňská, zpracovanou 03/2022 se zakázkovým číslem 21054, která je přílohou této výzvy. </w:t>
      </w:r>
    </w:p>
    <w:p w14:paraId="654A737D" w14:textId="77777777" w:rsidR="00DC76A7" w:rsidRDefault="00DC76A7" w:rsidP="00DC76A7">
      <w:pPr>
        <w:pStyle w:val="Normlnweb"/>
        <w:spacing w:before="0" w:beforeAutospacing="0" w:after="0" w:afterAutospacing="0"/>
        <w:ind w:left="709"/>
        <w:jc w:val="both"/>
        <w:rPr>
          <w:lang w:val="cs-CZ"/>
        </w:rPr>
      </w:pPr>
    </w:p>
    <w:p w14:paraId="330805AE" w14:textId="77777777" w:rsidR="00F01380" w:rsidRPr="00F01380" w:rsidRDefault="00DC76A7" w:rsidP="00DC76A7">
      <w:pPr>
        <w:pStyle w:val="Normlnweb"/>
        <w:spacing w:before="0" w:beforeAutospacing="0" w:after="0" w:afterAutospacing="0"/>
        <w:ind w:left="709"/>
        <w:jc w:val="both"/>
        <w:rPr>
          <w:b/>
          <w:bCs/>
          <w:lang w:val="cs-CZ"/>
        </w:rPr>
      </w:pPr>
      <w:r w:rsidRPr="00F01380">
        <w:rPr>
          <w:lang w:val="cs-CZ"/>
        </w:rPr>
        <w:t xml:space="preserve">Investorem byla vybraná </w:t>
      </w:r>
      <w:r w:rsidRPr="00F01380">
        <w:rPr>
          <w:b/>
          <w:bCs/>
          <w:u w:val="single"/>
          <w:lang w:val="cs-CZ"/>
        </w:rPr>
        <w:t>varianta 2 s jižní rampou přiléhající k trati a kolmým výjezdem severním směrem</w:t>
      </w:r>
      <w:r w:rsidRPr="00F01380">
        <w:rPr>
          <w:b/>
          <w:bCs/>
          <w:lang w:val="cs-CZ"/>
        </w:rPr>
        <w:t xml:space="preserve">. </w:t>
      </w:r>
    </w:p>
    <w:p w14:paraId="775AEA85" w14:textId="77777777" w:rsidR="00F01380" w:rsidRDefault="00F01380" w:rsidP="00DC76A7">
      <w:pPr>
        <w:pStyle w:val="Normlnweb"/>
        <w:spacing w:before="0" w:beforeAutospacing="0" w:after="0" w:afterAutospacing="0"/>
        <w:ind w:left="709"/>
        <w:jc w:val="both"/>
        <w:rPr>
          <w:lang w:val="cs-CZ"/>
        </w:rPr>
      </w:pPr>
    </w:p>
    <w:p w14:paraId="41FFF232" w14:textId="451BC9A7" w:rsidR="00DC76A7" w:rsidRPr="00DC76A7" w:rsidRDefault="00DC76A7" w:rsidP="00DC76A7">
      <w:pPr>
        <w:pStyle w:val="Normlnweb"/>
        <w:spacing w:before="0" w:beforeAutospacing="0" w:after="0" w:afterAutospacing="0"/>
        <w:ind w:left="709"/>
        <w:jc w:val="both"/>
        <w:rPr>
          <w:lang w:val="cs-CZ"/>
        </w:rPr>
      </w:pPr>
      <w:r w:rsidRPr="00DC76A7">
        <w:rPr>
          <w:lang w:val="cs-CZ"/>
        </w:rPr>
        <w:t>Navazující úseky cyklostezky nebyly předmětem studie proveditelnosti, vzhledem k celkové trase jsou ale nezbytné. Severním směrem povede od podchodu po pozemku parc. č. 4497/1 v k.ú. Horní Počernice, a bude ukončena v souřadnicích JTSK X = 1 041 131, Y = 730 129 (GPS cca 50°7'11.049"N, 14°35'35.513"E). Projektantem lávky přes D10 je firma TOP CON SERVIS s.r.o.. Úsek cyklostezky východním směrem od lávky směrem k ulici Vlastibořské začne na výše uvedených souřadnicích a plánované ukončení úseku je v místě GPS cca 50°7'12.900"N, 14°35'53.463"E).</w:t>
      </w:r>
      <w:r w:rsidR="00F01380">
        <w:rPr>
          <w:lang w:val="cs-CZ"/>
        </w:rPr>
        <w:t xml:space="preserve"> </w:t>
      </w:r>
      <w:r w:rsidRPr="00DC76A7">
        <w:rPr>
          <w:lang w:val="cs-CZ"/>
        </w:rPr>
        <w:t>Délka přemostění podchodu (6 m) bude v předstihu projednána s budoucím správcem, Oblastním ředitelstvím Praha, Správa železnic, státní organizace.</w:t>
      </w:r>
    </w:p>
    <w:p w14:paraId="6934342B" w14:textId="77777777" w:rsidR="00F01380" w:rsidRDefault="00DC76A7" w:rsidP="00F01380">
      <w:pPr>
        <w:ind w:left="709"/>
        <w:jc w:val="both"/>
      </w:pPr>
      <w:r>
        <w:t> </w:t>
      </w:r>
    </w:p>
    <w:p w14:paraId="7B1EAAAE" w14:textId="04486AC2" w:rsidR="00DC76A7" w:rsidRPr="00DC76A7" w:rsidRDefault="00DC76A7" w:rsidP="00F01380">
      <w:pPr>
        <w:ind w:left="709"/>
        <w:jc w:val="both"/>
        <w:rPr>
          <w:rFonts w:ascii="Times New Roman" w:hAnsi="Times New Roman" w:cs="Times New Roman"/>
        </w:rPr>
      </w:pPr>
      <w:r w:rsidRPr="00DC76A7">
        <w:rPr>
          <w:rFonts w:ascii="Times New Roman" w:hAnsi="Times New Roman" w:cs="Times New Roman"/>
          <w:sz w:val="24"/>
          <w:szCs w:val="24"/>
        </w:rPr>
        <w:t xml:space="preserve">Pro projekt je naprosto zásadní koordinace se stavbou "Optimalizace trati Mstětice - Vysočany" (dále jen Optimalizace), jejímž investorem je Správa železnic, státní organizace. V případě, že nebude do zahájení stavby optimalizace trati vyřešena koordinace s podchodem, nebude stavba podchodu možná. </w:t>
      </w:r>
    </w:p>
    <w:p w14:paraId="6286BD5C" w14:textId="77777777" w:rsidR="00DC76A7" w:rsidRPr="00DC76A7" w:rsidRDefault="00DC76A7" w:rsidP="00DC76A7">
      <w:pPr>
        <w:pStyle w:val="Normlnweb"/>
        <w:spacing w:before="0" w:beforeAutospacing="0" w:after="0" w:afterAutospacing="0"/>
        <w:ind w:left="709"/>
        <w:jc w:val="both"/>
        <w:rPr>
          <w:lang w:val="cs-CZ"/>
        </w:rPr>
      </w:pPr>
    </w:p>
    <w:p w14:paraId="661B5ED7" w14:textId="77777777" w:rsidR="00DC76A7" w:rsidRPr="00DC76A7" w:rsidRDefault="00DC76A7" w:rsidP="00DC76A7">
      <w:pPr>
        <w:pStyle w:val="Normlnweb"/>
        <w:spacing w:before="0" w:beforeAutospacing="0" w:after="0" w:afterAutospacing="0"/>
        <w:ind w:left="709"/>
        <w:jc w:val="both"/>
        <w:rPr>
          <w:lang w:val="cs-CZ"/>
        </w:rPr>
      </w:pPr>
      <w:r w:rsidRPr="00DC76A7">
        <w:rPr>
          <w:lang w:val="cs-CZ"/>
        </w:rPr>
        <w:t>V případě projektu podchodu je nutné navrhnout technické řešení ve 2 etapách tak, aby bylo zajištěno, že minimálně 1. etapa bude realizována společně se stavbou Optimalizace, která bude v tomto úseku zahájena nejpozději v březnu 2023. Pokud by realizace 1. etapy neproběhla, dalších 6 let od dokončení stavby Optimalizace nebudou povoleny omezení provozu a zásahy do díla kvůli zárukám.</w:t>
      </w:r>
    </w:p>
    <w:p w14:paraId="431257F0" w14:textId="77777777" w:rsidR="00DC76A7" w:rsidRPr="00DC76A7" w:rsidRDefault="00DC76A7" w:rsidP="00DC76A7">
      <w:pPr>
        <w:pStyle w:val="Normlnweb"/>
        <w:spacing w:before="0" w:beforeAutospacing="0" w:after="0" w:afterAutospacing="0"/>
        <w:ind w:left="709"/>
        <w:jc w:val="both"/>
        <w:rPr>
          <w:lang w:val="cs-CZ"/>
        </w:rPr>
      </w:pPr>
    </w:p>
    <w:p w14:paraId="6D1675F7" w14:textId="77777777" w:rsidR="008A36F9" w:rsidRDefault="008A36F9" w:rsidP="00DC76A7">
      <w:pPr>
        <w:pStyle w:val="Normlnweb"/>
        <w:spacing w:before="0" w:beforeAutospacing="0" w:after="0" w:afterAutospacing="0"/>
        <w:ind w:left="709"/>
        <w:jc w:val="both"/>
        <w:rPr>
          <w:b/>
          <w:bCs/>
          <w:lang w:val="cs-CZ"/>
        </w:rPr>
      </w:pPr>
    </w:p>
    <w:p w14:paraId="31C4795D" w14:textId="0F3B32BF" w:rsidR="00DC76A7" w:rsidRPr="00F01380" w:rsidRDefault="00DC76A7" w:rsidP="00DC76A7">
      <w:pPr>
        <w:pStyle w:val="Normlnweb"/>
        <w:spacing w:before="0" w:beforeAutospacing="0" w:after="0" w:afterAutospacing="0"/>
        <w:ind w:left="709"/>
        <w:jc w:val="both"/>
        <w:rPr>
          <w:b/>
          <w:bCs/>
          <w:lang w:val="cs-CZ"/>
        </w:rPr>
      </w:pPr>
      <w:r w:rsidRPr="00F01380">
        <w:rPr>
          <w:b/>
          <w:bCs/>
          <w:lang w:val="cs-CZ"/>
        </w:rPr>
        <w:lastRenderedPageBreak/>
        <w:t>1. etapa - předstihový objekt:</w:t>
      </w:r>
    </w:p>
    <w:p w14:paraId="436EFC51" w14:textId="77777777" w:rsidR="00F01380" w:rsidRDefault="00F01380" w:rsidP="00DC76A7">
      <w:pPr>
        <w:pStyle w:val="Normlnweb"/>
        <w:spacing w:before="0" w:beforeAutospacing="0" w:after="0" w:afterAutospacing="0"/>
        <w:ind w:left="709"/>
        <w:jc w:val="both"/>
        <w:rPr>
          <w:lang w:val="cs-CZ"/>
        </w:rPr>
      </w:pPr>
    </w:p>
    <w:p w14:paraId="5970C332" w14:textId="13D28DD7" w:rsidR="00DC76A7" w:rsidRDefault="00DC76A7" w:rsidP="00DC76A7">
      <w:pPr>
        <w:pStyle w:val="Normlnweb"/>
        <w:spacing w:before="0" w:beforeAutospacing="0" w:after="0" w:afterAutospacing="0"/>
        <w:ind w:left="709"/>
        <w:jc w:val="both"/>
        <w:rPr>
          <w:lang w:val="cs-CZ"/>
        </w:rPr>
      </w:pPr>
      <w:r w:rsidRPr="00DC76A7">
        <w:rPr>
          <w:lang w:val="cs-CZ"/>
        </w:rPr>
        <w:t>Bude navržen tak, aby umožnil dostavbu pochodu (2. etapa) bez výluky na trati po ukončení stavby Optimalizace. Bude se jednat o návrh nosné konstrukce podjezdu pod tratí založené např. na podzemních stěnách z velkoprůměrových pilot zhotovených ve výluce stavby Optimalizace. Vzhledem k tomu, že do doby realizace tohoto úseku Optimalizace nebude k dispozici stavební (resp. společné) povolení, bude realizována pouze nezbytná část podchodu (1. etapa) včetně zapažení budoucích přístupových ramp, které může být navrženo rovněž z velkoprůměrových pilot.</w:t>
      </w:r>
    </w:p>
    <w:p w14:paraId="0F981F7D" w14:textId="77777777" w:rsidR="00F01380" w:rsidRPr="00DC76A7" w:rsidRDefault="00F01380" w:rsidP="00DC76A7">
      <w:pPr>
        <w:pStyle w:val="Normlnweb"/>
        <w:spacing w:before="0" w:beforeAutospacing="0" w:after="0" w:afterAutospacing="0"/>
        <w:ind w:left="709"/>
        <w:jc w:val="both"/>
        <w:rPr>
          <w:lang w:val="cs-CZ"/>
        </w:rPr>
      </w:pPr>
    </w:p>
    <w:p w14:paraId="55FD29E8" w14:textId="77777777" w:rsidR="00DC76A7" w:rsidRPr="00DC76A7" w:rsidRDefault="00DC76A7" w:rsidP="00DC76A7">
      <w:pPr>
        <w:pStyle w:val="Normlnweb"/>
        <w:spacing w:before="0" w:beforeAutospacing="0" w:after="0" w:afterAutospacing="0"/>
        <w:ind w:left="709"/>
        <w:jc w:val="both"/>
        <w:rPr>
          <w:lang w:val="cs-CZ"/>
        </w:rPr>
      </w:pPr>
      <w:r w:rsidRPr="00DC76A7">
        <w:rPr>
          <w:lang w:val="cs-CZ"/>
        </w:rPr>
        <w:t>Návrh musí být koordinován se stavbou Optimalizace, zejména pokud se jedná o přeložky inženýrských sítí, které se překládají v rámci Optimalizace, resp. budou vyvolány výstavbou předstihového objektu. Rovněž zde musí být navrženo pažení kolejového lože v ose trati, aby mohlo dojít k výstavbě předstihového objektu v souladu s plánovanými výlukami stavby Optimalizace.</w:t>
      </w:r>
    </w:p>
    <w:p w14:paraId="50C2264C" w14:textId="77777777" w:rsidR="00F01380" w:rsidRDefault="00F01380" w:rsidP="00DC76A7">
      <w:pPr>
        <w:pStyle w:val="Normlnweb"/>
        <w:spacing w:before="0" w:beforeAutospacing="0" w:after="0" w:afterAutospacing="0"/>
        <w:ind w:left="709"/>
        <w:jc w:val="both"/>
        <w:rPr>
          <w:lang w:val="cs-CZ"/>
        </w:rPr>
      </w:pPr>
    </w:p>
    <w:p w14:paraId="6C3D93D4" w14:textId="59FCC298" w:rsidR="00DC76A7" w:rsidRPr="00DC76A7" w:rsidRDefault="00DC76A7" w:rsidP="00DC76A7">
      <w:pPr>
        <w:pStyle w:val="Normlnweb"/>
        <w:spacing w:before="0" w:beforeAutospacing="0" w:after="0" w:afterAutospacing="0"/>
        <w:ind w:left="709"/>
        <w:jc w:val="both"/>
        <w:rPr>
          <w:lang w:val="cs-CZ"/>
        </w:rPr>
      </w:pPr>
      <w:r w:rsidRPr="00DC76A7">
        <w:rPr>
          <w:lang w:val="cs-CZ"/>
        </w:rPr>
        <w:t>Předstihový objekt bude projektově zhotoven ve stupni RDS (tzn. včetně všech výkresů tvaru a výztuže železobetonových konstrukcí - piloty, nosná deska atd., izolace). Pro takový rozsah dokumentace bude zhotoven soupis prací a rozpočet tak, aby mohl být při výběru zhotovitele oceněn a následně realizován. Ocenění bude provedeno dle platného třídníku OTSKP. Tento objekt bude po dohodě se Správou železnic, státní organizace, řešen změnou stavby (Optimalizace) před dokončením, pokud by do doby realizace nebylo hotové společné povolení celé stavby podchodu.</w:t>
      </w:r>
    </w:p>
    <w:p w14:paraId="115D1119" w14:textId="77777777" w:rsidR="00DC76A7" w:rsidRPr="00DC76A7" w:rsidRDefault="00DC76A7" w:rsidP="00DC76A7">
      <w:pPr>
        <w:pStyle w:val="Normlnweb"/>
        <w:spacing w:before="0" w:beforeAutospacing="0" w:after="0" w:afterAutospacing="0"/>
        <w:ind w:left="709"/>
        <w:jc w:val="both"/>
        <w:rPr>
          <w:lang w:val="cs-CZ"/>
        </w:rPr>
      </w:pPr>
      <w:r w:rsidRPr="00DC76A7">
        <w:rPr>
          <w:lang w:val="cs-CZ"/>
        </w:rPr>
        <w:t xml:space="preserve">Výběr zhotovitele bude zajišťovat Správa železnic, státní organizace, realizaci bude financovat Magistrát hlavního města Prahy. </w:t>
      </w:r>
    </w:p>
    <w:p w14:paraId="3A65A0E8" w14:textId="77777777" w:rsidR="00DC76A7" w:rsidRPr="00DC76A7" w:rsidRDefault="00DC76A7" w:rsidP="00DC76A7">
      <w:pPr>
        <w:pStyle w:val="Normlnweb"/>
        <w:spacing w:before="0" w:beforeAutospacing="0" w:after="0" w:afterAutospacing="0"/>
        <w:ind w:left="709"/>
        <w:jc w:val="both"/>
        <w:rPr>
          <w:lang w:val="cs-CZ"/>
        </w:rPr>
      </w:pPr>
    </w:p>
    <w:p w14:paraId="67DAC04B" w14:textId="77777777" w:rsidR="00DC76A7" w:rsidRPr="00F01380" w:rsidRDefault="00DC76A7" w:rsidP="00DC76A7">
      <w:pPr>
        <w:pStyle w:val="Normlnweb"/>
        <w:spacing w:before="0" w:beforeAutospacing="0" w:after="0" w:afterAutospacing="0"/>
        <w:ind w:left="709"/>
        <w:jc w:val="both"/>
        <w:rPr>
          <w:b/>
          <w:bCs/>
          <w:lang w:val="cs-CZ"/>
        </w:rPr>
      </w:pPr>
      <w:r w:rsidRPr="00F01380">
        <w:rPr>
          <w:b/>
          <w:bCs/>
          <w:lang w:val="cs-CZ"/>
        </w:rPr>
        <w:t>2. etapa:</w:t>
      </w:r>
    </w:p>
    <w:p w14:paraId="24A8EA41" w14:textId="77777777" w:rsidR="00F01380" w:rsidRDefault="00F01380" w:rsidP="00DC76A7">
      <w:pPr>
        <w:pStyle w:val="Normlnweb"/>
        <w:spacing w:before="0" w:beforeAutospacing="0" w:after="0" w:afterAutospacing="0"/>
        <w:ind w:left="709"/>
        <w:jc w:val="both"/>
        <w:rPr>
          <w:lang w:val="cs-CZ"/>
        </w:rPr>
      </w:pPr>
    </w:p>
    <w:p w14:paraId="510BB50B" w14:textId="65BA53BF" w:rsidR="00DC76A7" w:rsidRPr="00DC76A7" w:rsidRDefault="00DC76A7" w:rsidP="00DC76A7">
      <w:pPr>
        <w:pStyle w:val="Normlnweb"/>
        <w:spacing w:before="0" w:beforeAutospacing="0" w:after="0" w:afterAutospacing="0"/>
        <w:ind w:left="709"/>
        <w:jc w:val="both"/>
        <w:rPr>
          <w:lang w:val="cs-CZ"/>
        </w:rPr>
      </w:pPr>
      <w:r w:rsidRPr="00DC76A7">
        <w:rPr>
          <w:lang w:val="cs-CZ"/>
        </w:rPr>
        <w:t>Bude se jednat o doprojektování samotného podchodu včetně navazujících přístupových ramp a navazující cyklostezky ve stupni DUSP+PDPS včetně zajištění právoplatného povolení pro tuto stavbu jako celek. Pokud bude reálné dostavět i tuto část podchodu v rámci stavby Optimalizace, tak se tak učiní. V opačném případě se touto stavbou naváže na již zhotovený předstihový objekt v době, kdy budou splněny podmínky pokračování v realizaci (zajištění finančního krytí stavby, povolení ke stavbě, soutěž na zhotovitele, výběr zhotovitele...).</w:t>
      </w:r>
      <w:r w:rsidR="00F01380">
        <w:rPr>
          <w:lang w:val="cs-CZ"/>
        </w:rPr>
        <w:t xml:space="preserve"> </w:t>
      </w:r>
      <w:r w:rsidRPr="00DC76A7">
        <w:rPr>
          <w:lang w:val="cs-CZ"/>
        </w:rPr>
        <w:t xml:space="preserve">Rovněž 2. etapa bude obsahovat soupis prací včetně rozpočtu. </w:t>
      </w:r>
    </w:p>
    <w:p w14:paraId="492D4016" w14:textId="77777777" w:rsidR="00DC76A7" w:rsidRPr="00DC76A7" w:rsidRDefault="00DC76A7" w:rsidP="00DC76A7">
      <w:pPr>
        <w:pStyle w:val="Normlnweb"/>
        <w:spacing w:before="0" w:beforeAutospacing="0" w:after="0" w:afterAutospacing="0"/>
        <w:ind w:left="709"/>
        <w:jc w:val="both"/>
        <w:rPr>
          <w:lang w:val="cs-CZ"/>
        </w:rPr>
      </w:pPr>
    </w:p>
    <w:p w14:paraId="680064B5" w14:textId="77777777" w:rsidR="00DC76A7" w:rsidRPr="00DC76A7" w:rsidRDefault="00DC76A7" w:rsidP="00DC76A7">
      <w:pPr>
        <w:pStyle w:val="Normlnweb"/>
        <w:spacing w:before="0" w:beforeAutospacing="0" w:after="0" w:afterAutospacing="0"/>
        <w:ind w:left="709"/>
        <w:jc w:val="both"/>
        <w:rPr>
          <w:lang w:val="cs-CZ"/>
        </w:rPr>
      </w:pPr>
    </w:p>
    <w:p w14:paraId="72244FFD" w14:textId="77777777" w:rsidR="00DC76A7" w:rsidRPr="00F01380" w:rsidRDefault="00DC76A7" w:rsidP="00DC76A7">
      <w:pPr>
        <w:pStyle w:val="Normlnweb"/>
        <w:spacing w:before="0" w:beforeAutospacing="0" w:after="0" w:afterAutospacing="0"/>
        <w:ind w:left="709"/>
        <w:jc w:val="both"/>
        <w:rPr>
          <w:b/>
          <w:bCs/>
          <w:lang w:val="cs-CZ"/>
        </w:rPr>
      </w:pPr>
      <w:r w:rsidRPr="00F01380">
        <w:rPr>
          <w:b/>
          <w:bCs/>
          <w:lang w:val="cs-CZ"/>
        </w:rPr>
        <w:t>Podrobná specifikace předmětu plnění:</w:t>
      </w:r>
    </w:p>
    <w:p w14:paraId="761D8DC0" w14:textId="77777777" w:rsidR="00DC76A7" w:rsidRPr="00DC76A7" w:rsidRDefault="00DC76A7" w:rsidP="00DC76A7">
      <w:pPr>
        <w:pStyle w:val="Normlnweb"/>
        <w:spacing w:before="0" w:beforeAutospacing="0" w:after="0" w:afterAutospacing="0"/>
        <w:ind w:left="709"/>
        <w:jc w:val="both"/>
        <w:rPr>
          <w:lang w:val="cs-CZ"/>
        </w:rPr>
      </w:pPr>
    </w:p>
    <w:p w14:paraId="66D3EDDE" w14:textId="77777777" w:rsidR="00DC76A7" w:rsidRPr="00DC76A7" w:rsidRDefault="00DC76A7" w:rsidP="00DC76A7">
      <w:pPr>
        <w:pStyle w:val="Normlnweb"/>
        <w:spacing w:before="0" w:beforeAutospacing="0" w:after="0" w:afterAutospacing="0"/>
        <w:ind w:left="709"/>
        <w:jc w:val="both"/>
        <w:rPr>
          <w:lang w:val="cs-CZ"/>
        </w:rPr>
      </w:pPr>
      <w:r w:rsidRPr="00DC76A7">
        <w:rPr>
          <w:lang w:val="cs-CZ"/>
        </w:rPr>
        <w:t>- geodetické zaměření pro následné zpracování výkazu výměr a rozpočtu,</w:t>
      </w:r>
    </w:p>
    <w:p w14:paraId="212FE645" w14:textId="77777777" w:rsidR="00F01380" w:rsidRDefault="00F01380" w:rsidP="00DC76A7">
      <w:pPr>
        <w:pStyle w:val="Normlnweb"/>
        <w:spacing w:before="0" w:beforeAutospacing="0" w:after="0" w:afterAutospacing="0"/>
        <w:ind w:left="709"/>
        <w:jc w:val="both"/>
        <w:rPr>
          <w:lang w:val="cs-CZ"/>
        </w:rPr>
      </w:pPr>
    </w:p>
    <w:p w14:paraId="6B5945DF" w14:textId="0F02D2E6" w:rsidR="00DC76A7" w:rsidRPr="00DC76A7" w:rsidRDefault="00DC76A7" w:rsidP="00DC76A7">
      <w:pPr>
        <w:pStyle w:val="Normlnweb"/>
        <w:spacing w:before="0" w:beforeAutospacing="0" w:after="0" w:afterAutospacing="0"/>
        <w:ind w:left="709"/>
        <w:jc w:val="both"/>
        <w:rPr>
          <w:lang w:val="cs-CZ"/>
        </w:rPr>
      </w:pPr>
      <w:r w:rsidRPr="00DC76A7">
        <w:rPr>
          <w:lang w:val="cs-CZ"/>
        </w:rPr>
        <w:t>- projektová dokumentace pro vydání společného územního rozhodnutí a stavebního povolení, která bude zpracovaná v souladu s přílohou č. 11 vyhlášky č. 499/2006 Sb.,</w:t>
      </w:r>
      <w:r w:rsidR="00F01380">
        <w:rPr>
          <w:lang w:val="cs-CZ"/>
        </w:rPr>
        <w:br/>
      </w:r>
      <w:r w:rsidRPr="00DC76A7">
        <w:rPr>
          <w:lang w:val="cs-CZ"/>
        </w:rPr>
        <w:t>v platném znění,</w:t>
      </w:r>
    </w:p>
    <w:p w14:paraId="64741202" w14:textId="77777777" w:rsidR="00F01380" w:rsidRDefault="00F01380" w:rsidP="00DC76A7">
      <w:pPr>
        <w:pStyle w:val="Normlnweb"/>
        <w:spacing w:before="0" w:beforeAutospacing="0" w:after="0" w:afterAutospacing="0"/>
        <w:ind w:left="709"/>
        <w:jc w:val="both"/>
        <w:rPr>
          <w:lang w:val="cs-CZ"/>
        </w:rPr>
      </w:pPr>
    </w:p>
    <w:p w14:paraId="5ADA6F40" w14:textId="2F279B76" w:rsidR="00DC76A7" w:rsidRPr="00DC76A7" w:rsidRDefault="00DC76A7" w:rsidP="00DC76A7">
      <w:pPr>
        <w:pStyle w:val="Normlnweb"/>
        <w:spacing w:before="0" w:beforeAutospacing="0" w:after="0" w:afterAutospacing="0"/>
        <w:ind w:left="709"/>
        <w:jc w:val="both"/>
        <w:rPr>
          <w:lang w:val="cs-CZ"/>
        </w:rPr>
      </w:pPr>
      <w:r w:rsidRPr="00DC76A7">
        <w:rPr>
          <w:lang w:val="cs-CZ"/>
        </w:rPr>
        <w:t>- zajištění potřebných stanovisek</w:t>
      </w:r>
      <w:r w:rsidR="00F01380">
        <w:rPr>
          <w:lang w:val="cs-CZ"/>
        </w:rPr>
        <w:t xml:space="preserve"> DOSS, správců sítí </w:t>
      </w:r>
      <w:r w:rsidRPr="00DC76A7">
        <w:rPr>
          <w:lang w:val="cs-CZ"/>
        </w:rPr>
        <w:t>a výkonu inženýrské činnosti pro získání společného pravomocného územního rozhodnutí a stavebního povolení, případné zajištění majetkoprávních smluv včetně projednání s dotčenými vlastníky pozemků,</w:t>
      </w:r>
    </w:p>
    <w:p w14:paraId="6618415F" w14:textId="77777777" w:rsidR="00F01380" w:rsidRDefault="00F01380" w:rsidP="00DC76A7">
      <w:pPr>
        <w:pStyle w:val="Normlnweb"/>
        <w:spacing w:before="0" w:beforeAutospacing="0" w:after="0" w:afterAutospacing="0"/>
        <w:ind w:left="709"/>
        <w:jc w:val="both"/>
        <w:rPr>
          <w:lang w:val="cs-CZ"/>
        </w:rPr>
      </w:pPr>
    </w:p>
    <w:p w14:paraId="08EAD22E" w14:textId="1A07CDCF" w:rsidR="00DC76A7" w:rsidRDefault="00DC76A7" w:rsidP="00DC76A7">
      <w:pPr>
        <w:pStyle w:val="Normlnweb"/>
        <w:spacing w:before="0" w:beforeAutospacing="0" w:after="0" w:afterAutospacing="0"/>
        <w:ind w:left="709"/>
        <w:jc w:val="both"/>
        <w:rPr>
          <w:lang w:val="cs-CZ"/>
        </w:rPr>
      </w:pPr>
      <w:r w:rsidRPr="00DC76A7">
        <w:rPr>
          <w:lang w:val="cs-CZ"/>
        </w:rPr>
        <w:lastRenderedPageBreak/>
        <w:t xml:space="preserve">- dokumentace pro provádění stavby zpracovaná v souladu s přílohou č. 13 vyhlášky </w:t>
      </w:r>
      <w:r w:rsidR="00F01380">
        <w:rPr>
          <w:lang w:val="cs-CZ"/>
        </w:rPr>
        <w:br/>
      </w:r>
      <w:r w:rsidRPr="00DC76A7">
        <w:rPr>
          <w:lang w:val="cs-CZ"/>
        </w:rPr>
        <w:t xml:space="preserve">č. 499/2006 Sb., v platném znění, a také v souladu s vyhláškou č. 169/2016 Sb., ve které budou zapracovány připomínky objednatele a veškeré podmínky IS, výkaz výměr </w:t>
      </w:r>
      <w:r w:rsidR="00F01380">
        <w:rPr>
          <w:lang w:val="cs-CZ"/>
        </w:rPr>
        <w:br/>
      </w:r>
      <w:r w:rsidRPr="00DC76A7">
        <w:rPr>
          <w:lang w:val="cs-CZ"/>
        </w:rPr>
        <w:t>a kontrolní rozpočet pro zahájení zadávacího řízení na zhotovitele stavby,</w:t>
      </w:r>
    </w:p>
    <w:p w14:paraId="386F4156" w14:textId="77777777" w:rsidR="0043290E" w:rsidRPr="00DC76A7" w:rsidRDefault="0043290E" w:rsidP="00DC76A7">
      <w:pPr>
        <w:pStyle w:val="Normlnweb"/>
        <w:spacing w:before="0" w:beforeAutospacing="0" w:after="0" w:afterAutospacing="0"/>
        <w:ind w:left="709"/>
        <w:jc w:val="both"/>
        <w:rPr>
          <w:lang w:val="cs-CZ"/>
        </w:rPr>
      </w:pPr>
    </w:p>
    <w:p w14:paraId="64CC4160" w14:textId="00A64F36" w:rsidR="00DC76A7" w:rsidRPr="00DC76A7" w:rsidRDefault="00DC76A7" w:rsidP="00DC76A7">
      <w:pPr>
        <w:pStyle w:val="Normlnweb"/>
        <w:spacing w:before="0" w:beforeAutospacing="0" w:after="0" w:afterAutospacing="0"/>
        <w:ind w:left="709"/>
        <w:jc w:val="both"/>
        <w:rPr>
          <w:lang w:val="cs-CZ"/>
        </w:rPr>
      </w:pPr>
      <w:r w:rsidRPr="00DC76A7">
        <w:rPr>
          <w:lang w:val="cs-CZ"/>
        </w:rPr>
        <w:t xml:space="preserve">- spolupráce při výběru zhotovitele při realizaci stavby; v rámci této spolupráce je zhotovitel projektové dokumentace povinen reagovat na případné dotazy zájemců </w:t>
      </w:r>
      <w:r w:rsidR="00F01380">
        <w:rPr>
          <w:lang w:val="cs-CZ"/>
        </w:rPr>
        <w:br/>
      </w:r>
      <w:r w:rsidRPr="00DC76A7">
        <w:rPr>
          <w:lang w:val="cs-CZ"/>
        </w:rPr>
        <w:t>o získání zakázky a odstranit případné nedostatky a nejasnosti projektové dokumentace, a to ve lhůtě max. 3 pracovních dnů od doručení žádosti o dodatečné informace.</w:t>
      </w:r>
      <w:r w:rsidR="00F01380">
        <w:rPr>
          <w:lang w:val="cs-CZ"/>
        </w:rPr>
        <w:t xml:space="preserve"> </w:t>
      </w:r>
      <w:r w:rsidRPr="00DC76A7">
        <w:rPr>
          <w:lang w:val="cs-CZ"/>
        </w:rPr>
        <w:t>Dokumentace pro provádění stavby musí obsahovat technické specifikace, které představují technické charakteristiky stavby. Dokumentace bude propracována až do úrovně jednoznačně určující požadavky na kvalitu a charakteristické vlastnosti stavby, umožňující provedení výběrového řízení na zhotovitele stavby, tj. musí být zpracována v rozsahu, který stanoví vyhláška č. 169/2016 Sb., tzn. nepoužívání obchodních názvů, a technické podmínky s odkazem na české technické normy přejímající evropské normy.</w:t>
      </w:r>
    </w:p>
    <w:p w14:paraId="0AF4EE2C" w14:textId="77777777" w:rsidR="00DC76A7" w:rsidRPr="00DC76A7" w:rsidRDefault="00DC76A7" w:rsidP="00DC76A7">
      <w:pPr>
        <w:pStyle w:val="Normlnweb"/>
        <w:spacing w:before="0" w:beforeAutospacing="0" w:after="0" w:afterAutospacing="0"/>
        <w:ind w:left="709"/>
        <w:jc w:val="both"/>
        <w:rPr>
          <w:lang w:val="cs-CZ"/>
        </w:rPr>
      </w:pPr>
      <w:r w:rsidRPr="00DC76A7">
        <w:rPr>
          <w:lang w:val="cs-CZ"/>
        </w:rPr>
        <w:t> </w:t>
      </w:r>
    </w:p>
    <w:p w14:paraId="7161CFD8" w14:textId="77777777" w:rsidR="00DC76A7" w:rsidRDefault="00DC76A7" w:rsidP="00DC76A7">
      <w:pPr>
        <w:ind w:left="709"/>
        <w:jc w:val="both"/>
        <w:rPr>
          <w:rFonts w:ascii="Calibri" w:hAnsi="Calibri" w:cs="Calibri"/>
        </w:rPr>
      </w:pPr>
      <w:r>
        <w:rPr>
          <w:rFonts w:ascii="Times New Roman" w:hAnsi="Times New Roman" w:cs="Times New Roman"/>
          <w:sz w:val="24"/>
          <w:szCs w:val="24"/>
        </w:rPr>
        <w:t>Uchazeč je v této souvislosti povinen spolupracovat se zadavatelem při výkonu autorského dozoru při provádění stavby po celou dobu realizace stavby (případně u stavebních prací až do doby dokončení stavby a provedení všech úkonů směřujících k užívání stavby v souladu se zákonem č. 183/2006 Sb., stavební zákon, v platném znění).</w:t>
      </w:r>
    </w:p>
    <w:p w14:paraId="6142FBAE" w14:textId="35A6BA54" w:rsidR="00DC76A7" w:rsidRDefault="00DC76A7" w:rsidP="00DC76A7">
      <w:pPr>
        <w:ind w:left="709"/>
        <w:jc w:val="both"/>
        <w:rPr>
          <w:rFonts w:ascii="Times New Roman" w:hAnsi="Times New Roman" w:cs="Times New Roman"/>
          <w:sz w:val="24"/>
          <w:szCs w:val="24"/>
        </w:rPr>
      </w:pPr>
      <w:r>
        <w:rPr>
          <w:rFonts w:ascii="Times New Roman" w:hAnsi="Times New Roman" w:cs="Times New Roman"/>
          <w:sz w:val="24"/>
          <w:szCs w:val="24"/>
        </w:rPr>
        <w:t>Místo plnění: parc. č. 3802, 1851, 3954, 3962/1, 3968/130, 3968/14, 4497/1 k.ú. Horní Počernice, obec Praha.</w:t>
      </w:r>
    </w:p>
    <w:p w14:paraId="6767CA4A" w14:textId="23FC6DA0" w:rsidR="00F01380" w:rsidRPr="00A75FB0" w:rsidRDefault="00F01380" w:rsidP="00F01380">
      <w:pPr>
        <w:ind w:left="708"/>
        <w:jc w:val="both"/>
        <w:rPr>
          <w:rFonts w:ascii="Times New Roman" w:hAnsi="Times New Roman" w:cs="Times New Roman"/>
          <w:sz w:val="24"/>
          <w:szCs w:val="24"/>
        </w:rPr>
      </w:pPr>
      <w:r>
        <w:rPr>
          <w:rFonts w:ascii="Times New Roman" w:hAnsi="Times New Roman" w:cs="Times New Roman"/>
          <w:sz w:val="24"/>
          <w:szCs w:val="24"/>
        </w:rPr>
        <w:t xml:space="preserve">DUSP </w:t>
      </w:r>
      <w:r w:rsidRPr="00A75FB0">
        <w:rPr>
          <w:rFonts w:ascii="Times New Roman" w:hAnsi="Times New Roman" w:cs="Times New Roman"/>
          <w:sz w:val="24"/>
          <w:szCs w:val="24"/>
        </w:rPr>
        <w:t>a součásti dodávky musí splňovat platné právní předpisy a odpovídat příslušným technickým normám ČSN a EN</w:t>
      </w:r>
      <w:r>
        <w:rPr>
          <w:rFonts w:ascii="Times New Roman" w:hAnsi="Times New Roman" w:cs="Times New Roman"/>
          <w:sz w:val="24"/>
          <w:szCs w:val="24"/>
        </w:rPr>
        <w:t xml:space="preserve"> a odpovídat platné ÚPD</w:t>
      </w:r>
      <w:r w:rsidRPr="00A75FB0">
        <w:rPr>
          <w:rFonts w:ascii="Times New Roman" w:hAnsi="Times New Roman" w:cs="Times New Roman"/>
          <w:sz w:val="24"/>
          <w:szCs w:val="24"/>
        </w:rPr>
        <w:t>.</w:t>
      </w:r>
    </w:p>
    <w:p w14:paraId="61BE1993" w14:textId="77777777" w:rsidR="00DC76A7" w:rsidRPr="00F01380" w:rsidRDefault="00DC76A7" w:rsidP="00DC76A7">
      <w:pPr>
        <w:ind w:left="709"/>
        <w:jc w:val="both"/>
        <w:rPr>
          <w:b/>
          <w:bCs/>
        </w:rPr>
      </w:pPr>
    </w:p>
    <w:p w14:paraId="54E814A9" w14:textId="77777777" w:rsidR="00DC76A7" w:rsidRPr="00F01380" w:rsidRDefault="00DC76A7" w:rsidP="00DC76A7">
      <w:pPr>
        <w:ind w:left="709"/>
        <w:jc w:val="both"/>
        <w:rPr>
          <w:b/>
          <w:bCs/>
        </w:rPr>
      </w:pPr>
      <w:r w:rsidRPr="00F01380">
        <w:rPr>
          <w:rFonts w:ascii="Times New Roman" w:hAnsi="Times New Roman" w:cs="Times New Roman"/>
          <w:b/>
          <w:bCs/>
          <w:sz w:val="24"/>
          <w:szCs w:val="24"/>
        </w:rPr>
        <w:t>Podmínky pro termíny odevzdání dokumentace:</w:t>
      </w:r>
    </w:p>
    <w:p w14:paraId="666D85B0" w14:textId="77777777" w:rsidR="00DC76A7" w:rsidRDefault="00DC76A7" w:rsidP="00DC76A7">
      <w:pPr>
        <w:ind w:left="709"/>
        <w:jc w:val="both"/>
      </w:pPr>
      <w:r>
        <w:rPr>
          <w:rFonts w:ascii="Times New Roman" w:hAnsi="Times New Roman" w:cs="Times New Roman"/>
          <w:sz w:val="24"/>
          <w:szCs w:val="24"/>
        </w:rPr>
        <w:t>- 1. etapa koncept DUSP 30. 9. 2022</w:t>
      </w:r>
    </w:p>
    <w:p w14:paraId="12AE992A" w14:textId="77777777" w:rsidR="00DC76A7" w:rsidRDefault="00DC76A7" w:rsidP="00DC76A7">
      <w:pPr>
        <w:ind w:left="709"/>
        <w:jc w:val="both"/>
      </w:pPr>
      <w:r>
        <w:rPr>
          <w:rFonts w:ascii="Times New Roman" w:hAnsi="Times New Roman" w:cs="Times New Roman"/>
          <w:sz w:val="24"/>
          <w:szCs w:val="24"/>
        </w:rPr>
        <w:t>- 1. etapa čistopis DUSP 15. 11. 2022 (předpoklad pro výběr zhotovitele do 31. 12. 2022)</w:t>
      </w:r>
    </w:p>
    <w:p w14:paraId="4F36AD22" w14:textId="77777777" w:rsidR="00DC76A7" w:rsidRDefault="00DC76A7" w:rsidP="00DC76A7">
      <w:pPr>
        <w:ind w:left="709"/>
        <w:jc w:val="both"/>
      </w:pPr>
      <w:r>
        <w:rPr>
          <w:rFonts w:ascii="Times New Roman" w:hAnsi="Times New Roman" w:cs="Times New Roman"/>
          <w:sz w:val="24"/>
          <w:szCs w:val="24"/>
        </w:rPr>
        <w:t>- 2. etapa koncept DUSP 31. 5. 2023</w:t>
      </w:r>
    </w:p>
    <w:p w14:paraId="7F9CD920" w14:textId="77777777" w:rsidR="00DC76A7" w:rsidRDefault="00DC76A7" w:rsidP="00DC76A7">
      <w:pPr>
        <w:ind w:left="709"/>
        <w:jc w:val="both"/>
      </w:pPr>
      <w:r>
        <w:rPr>
          <w:rFonts w:ascii="Times New Roman" w:hAnsi="Times New Roman" w:cs="Times New Roman"/>
          <w:sz w:val="24"/>
          <w:szCs w:val="24"/>
        </w:rPr>
        <w:t>- 2. etapa čistopis DUSP 31. 7. 2023</w:t>
      </w:r>
    </w:p>
    <w:p w14:paraId="437092D9" w14:textId="77777777" w:rsidR="00F01380" w:rsidRDefault="00F01380" w:rsidP="00F01380">
      <w:pPr>
        <w:jc w:val="both"/>
        <w:rPr>
          <w:rFonts w:ascii="Times New Roman" w:hAnsi="Times New Roman" w:cs="Times New Roman"/>
          <w:sz w:val="24"/>
          <w:szCs w:val="24"/>
        </w:rPr>
      </w:pPr>
    </w:p>
    <w:p w14:paraId="48808AEF" w14:textId="77777777" w:rsidR="00DB1DB5" w:rsidRPr="00E15907" w:rsidRDefault="00DB1DB5" w:rsidP="00DB1DB5">
      <w:pPr>
        <w:pStyle w:val="Tlotextu"/>
        <w:jc w:val="both"/>
        <w:rPr>
          <w:rFonts w:ascii="Times New Roman" w:hAnsi="Times New Roman" w:cs="Times New Roman"/>
          <w:b/>
          <w:bCs/>
          <w:szCs w:val="24"/>
        </w:rPr>
      </w:pPr>
    </w:p>
    <w:p w14:paraId="065EBBF5" w14:textId="77777777" w:rsidR="00DB1DB5" w:rsidRPr="00E15907" w:rsidRDefault="000647BC" w:rsidP="00B4071C">
      <w:pPr>
        <w:pStyle w:val="Tlotextu"/>
        <w:numPr>
          <w:ilvl w:val="0"/>
          <w:numId w:val="5"/>
        </w:numPr>
        <w:jc w:val="both"/>
        <w:rPr>
          <w:rFonts w:ascii="Times New Roman" w:hAnsi="Times New Roman" w:cs="Times New Roman"/>
          <w:b/>
          <w:bCs/>
          <w:szCs w:val="24"/>
        </w:rPr>
      </w:pPr>
      <w:r w:rsidRPr="00E15907">
        <w:rPr>
          <w:rFonts w:ascii="Times New Roman" w:hAnsi="Times New Roman" w:cs="Times New Roman"/>
          <w:b/>
          <w:bCs/>
          <w:szCs w:val="24"/>
        </w:rPr>
        <w:t xml:space="preserve"> PŘEDPOKLÁDANÁ HODNOTA PŘEDMĚTU VEŘEJNÉ ZAKÁZKY: </w:t>
      </w:r>
    </w:p>
    <w:p w14:paraId="7B5D6444" w14:textId="77777777" w:rsidR="00DB1DB5" w:rsidRPr="00E15907" w:rsidRDefault="00DB1DB5" w:rsidP="00DB1DB5">
      <w:pPr>
        <w:pStyle w:val="Tlotextu"/>
        <w:jc w:val="both"/>
        <w:rPr>
          <w:rFonts w:ascii="Times New Roman" w:hAnsi="Times New Roman" w:cs="Times New Roman"/>
          <w:szCs w:val="24"/>
        </w:rPr>
      </w:pPr>
    </w:p>
    <w:p w14:paraId="48DC82BB" w14:textId="50EE5119" w:rsidR="00DB1DB5" w:rsidRPr="00E15907" w:rsidRDefault="00464097" w:rsidP="005706DE">
      <w:pPr>
        <w:pStyle w:val="Tlotextu"/>
        <w:ind w:firstLine="360"/>
        <w:jc w:val="both"/>
        <w:rPr>
          <w:rFonts w:ascii="Times New Roman" w:hAnsi="Times New Roman" w:cs="Times New Roman"/>
          <w:szCs w:val="24"/>
        </w:rPr>
      </w:pPr>
      <w:r>
        <w:rPr>
          <w:rFonts w:ascii="Times New Roman" w:hAnsi="Times New Roman" w:cs="Times New Roman"/>
          <w:szCs w:val="24"/>
        </w:rPr>
        <w:t xml:space="preserve">Předpokládaná </w:t>
      </w:r>
      <w:r w:rsidR="005706DE" w:rsidRPr="00E15907">
        <w:rPr>
          <w:rFonts w:ascii="Times New Roman" w:hAnsi="Times New Roman" w:cs="Times New Roman"/>
          <w:szCs w:val="24"/>
        </w:rPr>
        <w:t xml:space="preserve">nabídková cena </w:t>
      </w:r>
      <w:r w:rsidR="000647BC" w:rsidRPr="00E15907">
        <w:rPr>
          <w:rFonts w:ascii="Times New Roman" w:hAnsi="Times New Roman" w:cs="Times New Roman"/>
          <w:szCs w:val="24"/>
        </w:rPr>
        <w:t xml:space="preserve">zakázky činí: </w:t>
      </w:r>
      <w:r w:rsidR="00E45E78">
        <w:rPr>
          <w:rFonts w:ascii="Times New Roman" w:hAnsi="Times New Roman" w:cs="Times New Roman"/>
          <w:szCs w:val="24"/>
        </w:rPr>
        <w:t>1.10</w:t>
      </w:r>
      <w:r>
        <w:rPr>
          <w:rFonts w:ascii="Times New Roman" w:hAnsi="Times New Roman" w:cs="Times New Roman"/>
          <w:szCs w:val="24"/>
        </w:rPr>
        <w:t>0.000</w:t>
      </w:r>
      <w:r w:rsidR="000647BC" w:rsidRPr="00E15907">
        <w:rPr>
          <w:rFonts w:ascii="Times New Roman" w:hAnsi="Times New Roman" w:cs="Times New Roman"/>
          <w:szCs w:val="24"/>
        </w:rPr>
        <w:t xml:space="preserve"> Kč bez DPH </w:t>
      </w:r>
    </w:p>
    <w:p w14:paraId="4E902DDA" w14:textId="77777777" w:rsidR="00B4071C" w:rsidRPr="00E15907" w:rsidRDefault="00B4071C" w:rsidP="00DB1DB5">
      <w:pPr>
        <w:pStyle w:val="Tlotextu"/>
        <w:jc w:val="both"/>
        <w:rPr>
          <w:rFonts w:ascii="Times New Roman" w:hAnsi="Times New Roman" w:cs="Times New Roman"/>
          <w:szCs w:val="24"/>
        </w:rPr>
      </w:pPr>
    </w:p>
    <w:p w14:paraId="0C3BEFF2" w14:textId="77777777" w:rsidR="00DB1DB5" w:rsidRPr="00E15907" w:rsidRDefault="00DB1DB5" w:rsidP="00DB1DB5">
      <w:pPr>
        <w:pStyle w:val="Tlotextu"/>
        <w:jc w:val="both"/>
        <w:rPr>
          <w:rFonts w:ascii="Times New Roman" w:hAnsi="Times New Roman" w:cs="Times New Roman"/>
          <w:szCs w:val="24"/>
        </w:rPr>
      </w:pPr>
    </w:p>
    <w:p w14:paraId="7270D208" w14:textId="77777777" w:rsidR="00DB1DB5" w:rsidRPr="00E15907" w:rsidRDefault="000647BC" w:rsidP="00B4071C">
      <w:pPr>
        <w:pStyle w:val="Tlotextu"/>
        <w:numPr>
          <w:ilvl w:val="0"/>
          <w:numId w:val="5"/>
        </w:numPr>
        <w:jc w:val="both"/>
        <w:rPr>
          <w:rFonts w:ascii="Times New Roman" w:hAnsi="Times New Roman" w:cs="Times New Roman"/>
          <w:b/>
          <w:bCs/>
          <w:szCs w:val="24"/>
        </w:rPr>
      </w:pPr>
      <w:r w:rsidRPr="00E15907">
        <w:rPr>
          <w:rFonts w:ascii="Times New Roman" w:hAnsi="Times New Roman" w:cs="Times New Roman"/>
          <w:b/>
          <w:bCs/>
          <w:szCs w:val="24"/>
        </w:rPr>
        <w:t xml:space="preserve"> DOBA A MÍSTO PLNĚNÍ VEŘEJNÉ ZAKÁZKY: </w:t>
      </w:r>
    </w:p>
    <w:p w14:paraId="6D3662CE" w14:textId="77777777" w:rsidR="00DB1DB5" w:rsidRPr="00E15907" w:rsidRDefault="00DB1DB5" w:rsidP="00DB1DB5">
      <w:pPr>
        <w:pStyle w:val="Tlotextu"/>
        <w:jc w:val="both"/>
        <w:rPr>
          <w:rFonts w:ascii="Times New Roman" w:hAnsi="Times New Roman" w:cs="Times New Roman"/>
          <w:szCs w:val="24"/>
        </w:rPr>
      </w:pPr>
    </w:p>
    <w:p w14:paraId="5A797A3C" w14:textId="77777777" w:rsidR="00B4071C" w:rsidRPr="00E15907" w:rsidRDefault="000647BC" w:rsidP="00B4071C">
      <w:pPr>
        <w:pStyle w:val="Tlotextu"/>
        <w:ind w:firstLine="360"/>
        <w:jc w:val="both"/>
        <w:rPr>
          <w:rFonts w:ascii="Times New Roman" w:hAnsi="Times New Roman" w:cs="Times New Roman"/>
          <w:szCs w:val="24"/>
        </w:rPr>
      </w:pPr>
      <w:r w:rsidRPr="00E15907">
        <w:rPr>
          <w:rFonts w:ascii="Times New Roman" w:hAnsi="Times New Roman" w:cs="Times New Roman"/>
          <w:szCs w:val="24"/>
        </w:rPr>
        <w:t xml:space="preserve">Doba plnění: </w:t>
      </w:r>
    </w:p>
    <w:p w14:paraId="01534451" w14:textId="77777777" w:rsidR="00B4071C" w:rsidRPr="00E15907" w:rsidRDefault="00B4071C" w:rsidP="00B4071C">
      <w:pPr>
        <w:pStyle w:val="Tlotextu"/>
        <w:jc w:val="both"/>
        <w:rPr>
          <w:rFonts w:ascii="Times New Roman" w:hAnsi="Times New Roman" w:cs="Times New Roman"/>
          <w:szCs w:val="24"/>
        </w:rPr>
      </w:pPr>
    </w:p>
    <w:p w14:paraId="727075D8" w14:textId="19321633" w:rsidR="00DB1DB5" w:rsidRPr="00E15907" w:rsidRDefault="000647BC" w:rsidP="00B4071C">
      <w:pPr>
        <w:pStyle w:val="Tlotextu"/>
        <w:ind w:firstLine="360"/>
        <w:jc w:val="both"/>
        <w:rPr>
          <w:rFonts w:ascii="Times New Roman" w:hAnsi="Times New Roman" w:cs="Times New Roman"/>
          <w:szCs w:val="24"/>
        </w:rPr>
      </w:pPr>
      <w:r w:rsidRPr="00E15907">
        <w:rPr>
          <w:rFonts w:ascii="Times New Roman" w:hAnsi="Times New Roman" w:cs="Times New Roman"/>
          <w:szCs w:val="24"/>
        </w:rPr>
        <w:t xml:space="preserve">Předpokládaný termín </w:t>
      </w:r>
      <w:r w:rsidR="007D6C04">
        <w:rPr>
          <w:rFonts w:ascii="Times New Roman" w:hAnsi="Times New Roman" w:cs="Times New Roman"/>
          <w:szCs w:val="24"/>
        </w:rPr>
        <w:t>zahájení dodávky:</w:t>
      </w:r>
      <w:r w:rsidR="00DD65D9" w:rsidRPr="00E15907">
        <w:rPr>
          <w:rFonts w:ascii="Times New Roman" w:hAnsi="Times New Roman" w:cs="Times New Roman"/>
          <w:szCs w:val="24"/>
        </w:rPr>
        <w:t xml:space="preserve"> </w:t>
      </w:r>
      <w:r w:rsidR="00464097">
        <w:rPr>
          <w:rFonts w:ascii="Times New Roman" w:hAnsi="Times New Roman" w:cs="Times New Roman"/>
          <w:szCs w:val="24"/>
        </w:rPr>
        <w:t xml:space="preserve">červen </w:t>
      </w:r>
      <w:r w:rsidRPr="00E15907">
        <w:rPr>
          <w:rFonts w:ascii="Times New Roman" w:hAnsi="Times New Roman" w:cs="Times New Roman"/>
          <w:szCs w:val="24"/>
        </w:rPr>
        <w:t>20</w:t>
      </w:r>
      <w:r w:rsidR="00DD65D9" w:rsidRPr="00E15907">
        <w:rPr>
          <w:rFonts w:ascii="Times New Roman" w:hAnsi="Times New Roman" w:cs="Times New Roman"/>
          <w:szCs w:val="24"/>
        </w:rPr>
        <w:t>2</w:t>
      </w:r>
      <w:r w:rsidR="00464097">
        <w:rPr>
          <w:rFonts w:ascii="Times New Roman" w:hAnsi="Times New Roman" w:cs="Times New Roman"/>
          <w:szCs w:val="24"/>
        </w:rPr>
        <w:t>2</w:t>
      </w:r>
      <w:r w:rsidRPr="00E15907">
        <w:rPr>
          <w:rFonts w:ascii="Times New Roman" w:hAnsi="Times New Roman" w:cs="Times New Roman"/>
          <w:szCs w:val="24"/>
        </w:rPr>
        <w:t xml:space="preserve"> </w:t>
      </w:r>
    </w:p>
    <w:p w14:paraId="5F65D5EE" w14:textId="77777777" w:rsidR="00DB1DB5" w:rsidRPr="00E15907" w:rsidRDefault="00DB1DB5" w:rsidP="00DB1DB5">
      <w:pPr>
        <w:pStyle w:val="Tlotextu"/>
        <w:jc w:val="both"/>
        <w:rPr>
          <w:rFonts w:ascii="Times New Roman" w:hAnsi="Times New Roman" w:cs="Times New Roman"/>
          <w:szCs w:val="24"/>
        </w:rPr>
      </w:pPr>
    </w:p>
    <w:p w14:paraId="60CCF795" w14:textId="4F20353B" w:rsidR="00DB1DB5" w:rsidRPr="00E15907" w:rsidRDefault="007D6C04" w:rsidP="00B4071C">
      <w:pPr>
        <w:pStyle w:val="Tlotextu"/>
        <w:ind w:firstLine="360"/>
        <w:jc w:val="both"/>
        <w:rPr>
          <w:rFonts w:ascii="Times New Roman" w:hAnsi="Times New Roman" w:cs="Times New Roman"/>
          <w:szCs w:val="24"/>
        </w:rPr>
      </w:pPr>
      <w:r>
        <w:rPr>
          <w:rFonts w:ascii="Times New Roman" w:hAnsi="Times New Roman" w:cs="Times New Roman"/>
          <w:szCs w:val="24"/>
        </w:rPr>
        <w:t>Předpokládaný t</w:t>
      </w:r>
      <w:r w:rsidR="000647BC" w:rsidRPr="00E15907">
        <w:rPr>
          <w:rFonts w:ascii="Times New Roman" w:hAnsi="Times New Roman" w:cs="Times New Roman"/>
          <w:szCs w:val="24"/>
        </w:rPr>
        <w:t>ermín do</w:t>
      </w:r>
      <w:r>
        <w:rPr>
          <w:rFonts w:ascii="Times New Roman" w:hAnsi="Times New Roman" w:cs="Times New Roman"/>
          <w:szCs w:val="24"/>
        </w:rPr>
        <w:t>končení dodávky</w:t>
      </w:r>
      <w:r w:rsidR="000647BC" w:rsidRPr="00E15907">
        <w:rPr>
          <w:rFonts w:ascii="Times New Roman" w:hAnsi="Times New Roman" w:cs="Times New Roman"/>
          <w:szCs w:val="24"/>
        </w:rPr>
        <w:t>:</w:t>
      </w:r>
      <w:r w:rsidR="00464097">
        <w:rPr>
          <w:rFonts w:ascii="Times New Roman" w:hAnsi="Times New Roman" w:cs="Times New Roman"/>
          <w:szCs w:val="24"/>
        </w:rPr>
        <w:t xml:space="preserve"> srpen </w:t>
      </w:r>
      <w:r w:rsidR="00C9140A" w:rsidRPr="00E15907">
        <w:rPr>
          <w:rFonts w:ascii="Times New Roman" w:hAnsi="Times New Roman" w:cs="Times New Roman"/>
          <w:szCs w:val="24"/>
        </w:rPr>
        <w:t>202</w:t>
      </w:r>
      <w:r w:rsidR="00464097">
        <w:rPr>
          <w:rFonts w:ascii="Times New Roman" w:hAnsi="Times New Roman" w:cs="Times New Roman"/>
          <w:szCs w:val="24"/>
        </w:rPr>
        <w:t>3</w:t>
      </w:r>
      <w:r w:rsidR="00C9140A" w:rsidRPr="00E15907">
        <w:rPr>
          <w:rFonts w:ascii="Times New Roman" w:hAnsi="Times New Roman" w:cs="Times New Roman"/>
          <w:szCs w:val="24"/>
        </w:rPr>
        <w:t>.</w:t>
      </w:r>
    </w:p>
    <w:p w14:paraId="3242ED17" w14:textId="77777777" w:rsidR="00DB1DB5" w:rsidRPr="00E15907" w:rsidRDefault="00DB1DB5" w:rsidP="00DB1DB5">
      <w:pPr>
        <w:pStyle w:val="Tlotextu"/>
        <w:jc w:val="both"/>
        <w:rPr>
          <w:rFonts w:ascii="Times New Roman" w:hAnsi="Times New Roman" w:cs="Times New Roman"/>
          <w:szCs w:val="24"/>
        </w:rPr>
      </w:pPr>
    </w:p>
    <w:p w14:paraId="4C8E5CA7" w14:textId="77777777" w:rsidR="00DB1DB5" w:rsidRPr="00E15907" w:rsidRDefault="000647BC" w:rsidP="00B4071C">
      <w:pPr>
        <w:pStyle w:val="Tlotextu"/>
        <w:ind w:firstLine="360"/>
        <w:jc w:val="both"/>
        <w:rPr>
          <w:rFonts w:ascii="Times New Roman" w:hAnsi="Times New Roman" w:cs="Times New Roman"/>
          <w:szCs w:val="24"/>
        </w:rPr>
      </w:pPr>
      <w:r w:rsidRPr="00E15907">
        <w:rPr>
          <w:rFonts w:ascii="Times New Roman" w:hAnsi="Times New Roman" w:cs="Times New Roman"/>
          <w:szCs w:val="24"/>
        </w:rPr>
        <w:t xml:space="preserve">Místo plnění: </w:t>
      </w:r>
      <w:r w:rsidR="0029411B" w:rsidRPr="00E15907">
        <w:rPr>
          <w:rFonts w:ascii="Times New Roman" w:hAnsi="Times New Roman" w:cs="Times New Roman"/>
          <w:szCs w:val="24"/>
        </w:rPr>
        <w:t>Praha</w:t>
      </w:r>
      <w:r w:rsidR="00DD65D9" w:rsidRPr="00E15907">
        <w:rPr>
          <w:rFonts w:ascii="Times New Roman" w:hAnsi="Times New Roman" w:cs="Times New Roman"/>
          <w:szCs w:val="24"/>
        </w:rPr>
        <w:t xml:space="preserve"> 9</w:t>
      </w:r>
      <w:r w:rsidR="0029411B" w:rsidRPr="00E15907">
        <w:rPr>
          <w:rFonts w:ascii="Times New Roman" w:hAnsi="Times New Roman" w:cs="Times New Roman"/>
          <w:szCs w:val="24"/>
        </w:rPr>
        <w:t xml:space="preserve">, </w:t>
      </w:r>
      <w:r w:rsidR="00DB1DB5" w:rsidRPr="00E15907">
        <w:rPr>
          <w:rFonts w:ascii="Times New Roman" w:hAnsi="Times New Roman" w:cs="Times New Roman"/>
          <w:szCs w:val="24"/>
        </w:rPr>
        <w:t xml:space="preserve"> </w:t>
      </w:r>
    </w:p>
    <w:p w14:paraId="0C854F95" w14:textId="77777777" w:rsidR="00DB1DB5" w:rsidRPr="00E15907" w:rsidRDefault="00DB1DB5" w:rsidP="00DB1DB5">
      <w:pPr>
        <w:pStyle w:val="Tlotextu"/>
        <w:jc w:val="both"/>
        <w:rPr>
          <w:rFonts w:ascii="Times New Roman" w:hAnsi="Times New Roman" w:cs="Times New Roman"/>
          <w:szCs w:val="24"/>
        </w:rPr>
      </w:pPr>
    </w:p>
    <w:p w14:paraId="714AC398" w14:textId="59DF95F8" w:rsidR="00DB1DB5" w:rsidRPr="00E15907" w:rsidRDefault="0043290E" w:rsidP="0043290E">
      <w:pPr>
        <w:pStyle w:val="Tlotextu"/>
        <w:ind w:left="360"/>
        <w:jc w:val="both"/>
        <w:rPr>
          <w:rFonts w:ascii="Times New Roman" w:hAnsi="Times New Roman" w:cs="Times New Roman"/>
          <w:b/>
          <w:bCs/>
          <w:szCs w:val="24"/>
        </w:rPr>
      </w:pPr>
      <w:r>
        <w:rPr>
          <w:rFonts w:ascii="Times New Roman" w:hAnsi="Times New Roman" w:cs="Times New Roman"/>
          <w:b/>
          <w:bCs/>
          <w:szCs w:val="24"/>
        </w:rPr>
        <w:t xml:space="preserve">IX. </w:t>
      </w:r>
      <w:r w:rsidR="000647BC" w:rsidRPr="00E15907">
        <w:rPr>
          <w:rFonts w:ascii="Times New Roman" w:hAnsi="Times New Roman" w:cs="Times New Roman"/>
          <w:b/>
          <w:bCs/>
          <w:szCs w:val="24"/>
        </w:rPr>
        <w:t xml:space="preserve"> PLATEBNÍ PODMÍNKY</w:t>
      </w:r>
    </w:p>
    <w:p w14:paraId="5C3E8E76" w14:textId="77777777" w:rsidR="00DB1DB5" w:rsidRPr="00E15907" w:rsidRDefault="00DB1DB5" w:rsidP="00DB1DB5">
      <w:pPr>
        <w:pStyle w:val="Tlotextu"/>
        <w:jc w:val="both"/>
        <w:rPr>
          <w:rFonts w:ascii="Times New Roman" w:hAnsi="Times New Roman" w:cs="Times New Roman"/>
          <w:szCs w:val="24"/>
        </w:rPr>
      </w:pPr>
    </w:p>
    <w:p w14:paraId="66EC229A" w14:textId="481D3120" w:rsidR="00DB1DB5" w:rsidRPr="00E15907" w:rsidRDefault="000647BC" w:rsidP="00DB1DB5">
      <w:pPr>
        <w:pStyle w:val="Tlotextu"/>
        <w:jc w:val="both"/>
        <w:rPr>
          <w:rFonts w:ascii="Times New Roman" w:hAnsi="Times New Roman" w:cs="Times New Roman"/>
          <w:szCs w:val="24"/>
        </w:rPr>
      </w:pPr>
      <w:r w:rsidRPr="00E15907">
        <w:rPr>
          <w:rFonts w:ascii="Times New Roman" w:hAnsi="Times New Roman" w:cs="Times New Roman"/>
          <w:szCs w:val="24"/>
        </w:rPr>
        <w:t xml:space="preserve">Cena za předmět veřejné zakázky bude uhrazena po řádném předání a převzetí </w:t>
      </w:r>
      <w:r w:rsidR="00445951">
        <w:rPr>
          <w:rFonts w:ascii="Times New Roman" w:hAnsi="Times New Roman" w:cs="Times New Roman"/>
          <w:szCs w:val="24"/>
        </w:rPr>
        <w:t xml:space="preserve"> příslušné etapy </w:t>
      </w:r>
      <w:r w:rsidRPr="00E15907">
        <w:rPr>
          <w:rFonts w:ascii="Times New Roman" w:hAnsi="Times New Roman" w:cs="Times New Roman"/>
          <w:szCs w:val="24"/>
        </w:rPr>
        <w:t xml:space="preserve">zakázky na základě vystaveného daňového dokladu (faktury) se splatností </w:t>
      </w:r>
      <w:r w:rsidR="00DD65D9" w:rsidRPr="00E15907">
        <w:rPr>
          <w:rFonts w:ascii="Times New Roman" w:hAnsi="Times New Roman" w:cs="Times New Roman"/>
          <w:szCs w:val="24"/>
        </w:rPr>
        <w:t>21</w:t>
      </w:r>
      <w:r w:rsidRPr="00E15907">
        <w:rPr>
          <w:rFonts w:ascii="Times New Roman" w:hAnsi="Times New Roman" w:cs="Times New Roman"/>
          <w:szCs w:val="24"/>
        </w:rPr>
        <w:t xml:space="preserve"> dnů ode dne následujícího po dni doručení faktury zadavateli. Zálohy se neposkytují. </w:t>
      </w:r>
    </w:p>
    <w:p w14:paraId="0BF850B4" w14:textId="77777777" w:rsidR="00DB1DB5" w:rsidRPr="00E15907" w:rsidRDefault="00DB1DB5" w:rsidP="00DB1DB5">
      <w:pPr>
        <w:pStyle w:val="Tlotextu"/>
        <w:jc w:val="both"/>
        <w:rPr>
          <w:rFonts w:ascii="Times New Roman" w:hAnsi="Times New Roman" w:cs="Times New Roman"/>
          <w:szCs w:val="24"/>
        </w:rPr>
      </w:pPr>
    </w:p>
    <w:p w14:paraId="503CCC4D" w14:textId="117F2E85" w:rsidR="00DB1DB5" w:rsidRPr="00E15907" w:rsidRDefault="000647BC" w:rsidP="0043290E">
      <w:pPr>
        <w:pStyle w:val="Tlotextu"/>
        <w:numPr>
          <w:ilvl w:val="0"/>
          <w:numId w:val="18"/>
        </w:numPr>
        <w:jc w:val="both"/>
        <w:rPr>
          <w:rFonts w:ascii="Times New Roman" w:hAnsi="Times New Roman" w:cs="Times New Roman"/>
          <w:b/>
          <w:bCs/>
          <w:szCs w:val="24"/>
        </w:rPr>
      </w:pPr>
      <w:r w:rsidRPr="00E15907">
        <w:rPr>
          <w:rFonts w:ascii="Times New Roman" w:hAnsi="Times New Roman" w:cs="Times New Roman"/>
          <w:b/>
          <w:bCs/>
          <w:szCs w:val="24"/>
        </w:rPr>
        <w:t xml:space="preserve"> LHŮTA A MÍSTO PRO PODÁNÍ NABÍDKY </w:t>
      </w:r>
    </w:p>
    <w:p w14:paraId="477687AE" w14:textId="77777777" w:rsidR="00DB1DB5" w:rsidRPr="00E15907" w:rsidRDefault="00DB1DB5" w:rsidP="00DB1DB5">
      <w:pPr>
        <w:pStyle w:val="Tlotextu"/>
        <w:jc w:val="both"/>
        <w:rPr>
          <w:rFonts w:ascii="Times New Roman" w:hAnsi="Times New Roman" w:cs="Times New Roman"/>
          <w:szCs w:val="24"/>
        </w:rPr>
      </w:pPr>
    </w:p>
    <w:p w14:paraId="293FF2A8" w14:textId="4F0288EA" w:rsidR="00DB1DB5" w:rsidRPr="00E15907" w:rsidRDefault="000647BC" w:rsidP="00DB1DB5">
      <w:pPr>
        <w:pStyle w:val="Tlotextu"/>
        <w:jc w:val="both"/>
        <w:rPr>
          <w:rFonts w:ascii="Times New Roman" w:hAnsi="Times New Roman" w:cs="Times New Roman"/>
          <w:szCs w:val="24"/>
        </w:rPr>
      </w:pPr>
      <w:r w:rsidRPr="00E15907">
        <w:rPr>
          <w:rFonts w:ascii="Times New Roman" w:hAnsi="Times New Roman" w:cs="Times New Roman"/>
          <w:szCs w:val="24"/>
        </w:rPr>
        <w:t xml:space="preserve">A. Lhůta pro podání nabídek končí: </w:t>
      </w:r>
      <w:r w:rsidR="008A36F9">
        <w:rPr>
          <w:rFonts w:ascii="Times New Roman" w:hAnsi="Times New Roman" w:cs="Times New Roman"/>
          <w:b/>
          <w:bCs/>
          <w:szCs w:val="24"/>
        </w:rPr>
        <w:t>31</w:t>
      </w:r>
      <w:r w:rsidRPr="003A3E45">
        <w:rPr>
          <w:rFonts w:ascii="Times New Roman" w:hAnsi="Times New Roman" w:cs="Times New Roman"/>
          <w:b/>
          <w:bCs/>
          <w:szCs w:val="24"/>
        </w:rPr>
        <w:t xml:space="preserve">. </w:t>
      </w:r>
      <w:r w:rsidR="00464097">
        <w:rPr>
          <w:rFonts w:ascii="Times New Roman" w:hAnsi="Times New Roman" w:cs="Times New Roman"/>
          <w:b/>
          <w:bCs/>
          <w:szCs w:val="24"/>
        </w:rPr>
        <w:t>5</w:t>
      </w:r>
      <w:r w:rsidRPr="003A3E45">
        <w:rPr>
          <w:rFonts w:ascii="Times New Roman" w:hAnsi="Times New Roman" w:cs="Times New Roman"/>
          <w:b/>
          <w:bCs/>
          <w:szCs w:val="24"/>
        </w:rPr>
        <w:t>. 20</w:t>
      </w:r>
      <w:r w:rsidR="00DD65D9" w:rsidRPr="003A3E45">
        <w:rPr>
          <w:rFonts w:ascii="Times New Roman" w:hAnsi="Times New Roman" w:cs="Times New Roman"/>
          <w:b/>
          <w:bCs/>
          <w:szCs w:val="24"/>
        </w:rPr>
        <w:t>2</w:t>
      </w:r>
      <w:r w:rsidR="00464097">
        <w:rPr>
          <w:rFonts w:ascii="Times New Roman" w:hAnsi="Times New Roman" w:cs="Times New Roman"/>
          <w:b/>
          <w:bCs/>
          <w:szCs w:val="24"/>
        </w:rPr>
        <w:t>2</w:t>
      </w:r>
      <w:r w:rsidRPr="00E15907">
        <w:rPr>
          <w:rFonts w:ascii="Times New Roman" w:hAnsi="Times New Roman" w:cs="Times New Roman"/>
          <w:b/>
          <w:bCs/>
          <w:szCs w:val="24"/>
        </w:rPr>
        <w:t xml:space="preserve"> do </w:t>
      </w:r>
      <w:r w:rsidR="008A36F9">
        <w:rPr>
          <w:rFonts w:ascii="Times New Roman" w:hAnsi="Times New Roman" w:cs="Times New Roman"/>
          <w:b/>
          <w:bCs/>
          <w:szCs w:val="24"/>
        </w:rPr>
        <w:t>10.00</w:t>
      </w:r>
      <w:r w:rsidRPr="00E15907">
        <w:rPr>
          <w:rFonts w:ascii="Times New Roman" w:hAnsi="Times New Roman" w:cs="Times New Roman"/>
          <w:b/>
          <w:bCs/>
          <w:szCs w:val="24"/>
        </w:rPr>
        <w:t xml:space="preserve"> hodin.</w:t>
      </w:r>
      <w:r w:rsidRPr="00E15907">
        <w:rPr>
          <w:rFonts w:ascii="Times New Roman" w:hAnsi="Times New Roman" w:cs="Times New Roman"/>
          <w:szCs w:val="24"/>
        </w:rPr>
        <w:t xml:space="preserve"> </w:t>
      </w:r>
    </w:p>
    <w:p w14:paraId="154CE5B5" w14:textId="77777777" w:rsidR="00DB1DB5" w:rsidRPr="00E15907" w:rsidRDefault="00DB1DB5" w:rsidP="00DB1DB5">
      <w:pPr>
        <w:pStyle w:val="Tlotextu"/>
        <w:jc w:val="both"/>
        <w:rPr>
          <w:rFonts w:ascii="Times New Roman" w:hAnsi="Times New Roman" w:cs="Times New Roman"/>
          <w:szCs w:val="24"/>
        </w:rPr>
      </w:pPr>
    </w:p>
    <w:p w14:paraId="42151FF4" w14:textId="77777777" w:rsidR="0028290C" w:rsidRPr="00E15907" w:rsidRDefault="000647BC" w:rsidP="00B4071C">
      <w:pPr>
        <w:pStyle w:val="Tlotextu"/>
        <w:jc w:val="both"/>
        <w:rPr>
          <w:rFonts w:ascii="Times New Roman" w:hAnsi="Times New Roman" w:cs="Times New Roman"/>
          <w:szCs w:val="24"/>
        </w:rPr>
      </w:pPr>
      <w:r w:rsidRPr="00E15907">
        <w:rPr>
          <w:rFonts w:ascii="Times New Roman" w:hAnsi="Times New Roman" w:cs="Times New Roman"/>
          <w:szCs w:val="24"/>
        </w:rPr>
        <w:t xml:space="preserve">B. Místo pro podání nabídky: </w:t>
      </w:r>
    </w:p>
    <w:p w14:paraId="3F77AD41" w14:textId="77777777" w:rsidR="0028290C" w:rsidRPr="00E15907" w:rsidRDefault="0028290C" w:rsidP="00B4071C">
      <w:pPr>
        <w:pStyle w:val="Tlotextu"/>
        <w:jc w:val="both"/>
        <w:rPr>
          <w:rFonts w:ascii="Times New Roman" w:hAnsi="Times New Roman" w:cs="Times New Roman"/>
          <w:szCs w:val="24"/>
        </w:rPr>
      </w:pPr>
    </w:p>
    <w:p w14:paraId="6D3E79BE" w14:textId="77777777" w:rsidR="00DB1DB5" w:rsidRPr="00E15907" w:rsidRDefault="000647BC" w:rsidP="00B4071C">
      <w:pPr>
        <w:pStyle w:val="Tlotextu"/>
        <w:jc w:val="both"/>
        <w:rPr>
          <w:rFonts w:ascii="Times New Roman" w:hAnsi="Times New Roman" w:cs="Times New Roman"/>
          <w:szCs w:val="24"/>
        </w:rPr>
      </w:pPr>
      <w:r w:rsidRPr="00E15907">
        <w:rPr>
          <w:rFonts w:ascii="Times New Roman" w:hAnsi="Times New Roman" w:cs="Times New Roman"/>
          <w:szCs w:val="24"/>
        </w:rPr>
        <w:t>Nabídku lze podat osobně</w:t>
      </w:r>
      <w:r w:rsidR="00DB1DB5" w:rsidRPr="00E15907">
        <w:rPr>
          <w:rFonts w:ascii="Times New Roman" w:hAnsi="Times New Roman" w:cs="Times New Roman"/>
          <w:szCs w:val="24"/>
        </w:rPr>
        <w:t xml:space="preserve"> v </w:t>
      </w:r>
      <w:r w:rsidRPr="00E15907">
        <w:rPr>
          <w:rFonts w:ascii="Times New Roman" w:hAnsi="Times New Roman" w:cs="Times New Roman"/>
          <w:szCs w:val="24"/>
        </w:rPr>
        <w:t xml:space="preserve">pracovních dnech </w:t>
      </w:r>
      <w:r w:rsidR="00B4071C" w:rsidRPr="00E15907">
        <w:rPr>
          <w:rFonts w:ascii="Times New Roman" w:hAnsi="Times New Roman" w:cs="Times New Roman"/>
          <w:szCs w:val="24"/>
        </w:rPr>
        <w:t>na podatelně úřadu Městské části Praha Vinoř</w:t>
      </w:r>
      <w:r w:rsidRPr="00E15907">
        <w:rPr>
          <w:rFonts w:ascii="Times New Roman" w:hAnsi="Times New Roman" w:cs="Times New Roman"/>
          <w:szCs w:val="24"/>
        </w:rPr>
        <w:t>,</w:t>
      </w:r>
      <w:r w:rsidR="00DB1DB5" w:rsidRPr="00E15907">
        <w:rPr>
          <w:rFonts w:ascii="Times New Roman" w:hAnsi="Times New Roman" w:cs="Times New Roman"/>
          <w:szCs w:val="24"/>
        </w:rPr>
        <w:t xml:space="preserve"> Bohdanečská 97, 190 17 Praha – Vinoř </w:t>
      </w:r>
      <w:r w:rsidRPr="00E15907">
        <w:rPr>
          <w:rFonts w:ascii="Times New Roman" w:hAnsi="Times New Roman" w:cs="Times New Roman"/>
          <w:szCs w:val="24"/>
        </w:rPr>
        <w:t>nebo zaslat</w:t>
      </w:r>
      <w:r w:rsidR="00B4071C" w:rsidRPr="00E15907">
        <w:rPr>
          <w:rFonts w:ascii="Times New Roman" w:hAnsi="Times New Roman" w:cs="Times New Roman"/>
          <w:szCs w:val="24"/>
        </w:rPr>
        <w:t xml:space="preserve"> </w:t>
      </w:r>
      <w:r w:rsidRPr="00E15907">
        <w:rPr>
          <w:rFonts w:ascii="Times New Roman" w:hAnsi="Times New Roman" w:cs="Times New Roman"/>
          <w:szCs w:val="24"/>
        </w:rPr>
        <w:t xml:space="preserve">na adresu </w:t>
      </w:r>
      <w:r w:rsidR="00DB1DB5" w:rsidRPr="00E15907">
        <w:rPr>
          <w:rFonts w:ascii="Times New Roman" w:hAnsi="Times New Roman" w:cs="Times New Roman"/>
          <w:szCs w:val="24"/>
        </w:rPr>
        <w:t>zadavatele</w:t>
      </w:r>
      <w:r w:rsidRPr="00E15907">
        <w:rPr>
          <w:rFonts w:ascii="Times New Roman" w:hAnsi="Times New Roman" w:cs="Times New Roman"/>
          <w:szCs w:val="24"/>
        </w:rPr>
        <w:t xml:space="preserve">. </w:t>
      </w:r>
    </w:p>
    <w:p w14:paraId="10D153C7" w14:textId="77777777" w:rsidR="0028290C" w:rsidRPr="00E15907" w:rsidRDefault="0028290C" w:rsidP="00B4071C">
      <w:pPr>
        <w:pStyle w:val="Tlotextu"/>
        <w:jc w:val="both"/>
        <w:rPr>
          <w:rFonts w:ascii="Times New Roman" w:hAnsi="Times New Roman" w:cs="Times New Roman"/>
          <w:szCs w:val="24"/>
        </w:rPr>
      </w:pPr>
    </w:p>
    <w:p w14:paraId="4987C68B" w14:textId="77777777" w:rsidR="0028290C" w:rsidRPr="00E15907" w:rsidRDefault="0028290C" w:rsidP="00B4071C">
      <w:pPr>
        <w:pStyle w:val="Tlotextu"/>
        <w:jc w:val="both"/>
        <w:rPr>
          <w:rFonts w:ascii="Times New Roman" w:hAnsi="Times New Roman" w:cs="Times New Roman"/>
          <w:szCs w:val="24"/>
        </w:rPr>
      </w:pPr>
      <w:r w:rsidRPr="00E15907">
        <w:rPr>
          <w:rFonts w:ascii="Times New Roman" w:hAnsi="Times New Roman" w:cs="Times New Roman"/>
          <w:szCs w:val="24"/>
        </w:rPr>
        <w:t xml:space="preserve">C. </w:t>
      </w:r>
      <w:r w:rsidR="000647BC" w:rsidRPr="00E15907">
        <w:rPr>
          <w:rFonts w:ascii="Times New Roman" w:hAnsi="Times New Roman" w:cs="Times New Roman"/>
          <w:szCs w:val="24"/>
        </w:rPr>
        <w:t>Další podmínky:</w:t>
      </w:r>
    </w:p>
    <w:p w14:paraId="78D8A6BF" w14:textId="77777777" w:rsidR="0028290C" w:rsidRPr="00E15907" w:rsidRDefault="0028290C" w:rsidP="00B4071C">
      <w:pPr>
        <w:pStyle w:val="Tlotextu"/>
        <w:jc w:val="both"/>
        <w:rPr>
          <w:rFonts w:ascii="Times New Roman" w:hAnsi="Times New Roman" w:cs="Times New Roman"/>
          <w:szCs w:val="24"/>
        </w:rPr>
      </w:pPr>
    </w:p>
    <w:p w14:paraId="2A81EEF0" w14:textId="77777777" w:rsidR="0028290C" w:rsidRPr="00E15907" w:rsidRDefault="000647BC" w:rsidP="00B4071C">
      <w:pPr>
        <w:pStyle w:val="Tlotextu"/>
        <w:jc w:val="both"/>
        <w:rPr>
          <w:rFonts w:ascii="Times New Roman" w:hAnsi="Times New Roman" w:cs="Times New Roman"/>
          <w:szCs w:val="24"/>
        </w:rPr>
      </w:pPr>
      <w:r w:rsidRPr="00E15907">
        <w:rPr>
          <w:rFonts w:ascii="Times New Roman" w:hAnsi="Times New Roman" w:cs="Times New Roman"/>
          <w:szCs w:val="24"/>
        </w:rPr>
        <w:t xml:space="preserve"> Účastníci podají nabídku v uzavřené neporušené obálce či jiném obalu označeném: </w:t>
      </w:r>
    </w:p>
    <w:p w14:paraId="55B84946" w14:textId="77777777" w:rsidR="0028290C" w:rsidRPr="00464097" w:rsidRDefault="0028290C" w:rsidP="00B4071C">
      <w:pPr>
        <w:pStyle w:val="Tlotextu"/>
        <w:jc w:val="both"/>
        <w:rPr>
          <w:rFonts w:ascii="Times New Roman" w:hAnsi="Times New Roman" w:cs="Times New Roman"/>
          <w:sz w:val="32"/>
          <w:szCs w:val="32"/>
        </w:rPr>
      </w:pPr>
    </w:p>
    <w:p w14:paraId="48BC2465" w14:textId="77777777" w:rsidR="00464097" w:rsidRPr="00464097" w:rsidRDefault="00464097" w:rsidP="00464097">
      <w:pPr>
        <w:ind w:firstLine="708"/>
        <w:jc w:val="center"/>
        <w:rPr>
          <w:rFonts w:ascii="Times New Roman" w:hAnsi="Times New Roman" w:cs="Times New Roman"/>
          <w:b/>
          <w:bCs/>
          <w:sz w:val="32"/>
          <w:szCs w:val="32"/>
        </w:rPr>
      </w:pPr>
      <w:r w:rsidRPr="00464097">
        <w:rPr>
          <w:rFonts w:ascii="Times New Roman" w:hAnsi="Times New Roman" w:cs="Times New Roman"/>
          <w:b/>
          <w:bCs/>
          <w:sz w:val="32"/>
          <w:szCs w:val="32"/>
        </w:rPr>
        <w:t xml:space="preserve">DUSP  a inženýring - Cyklostezka A50 </w:t>
      </w:r>
    </w:p>
    <w:p w14:paraId="3D6DE517" w14:textId="665D5782" w:rsidR="0028290C" w:rsidRPr="00464097" w:rsidRDefault="00464097" w:rsidP="00464097">
      <w:pPr>
        <w:ind w:firstLine="708"/>
        <w:jc w:val="center"/>
        <w:rPr>
          <w:rFonts w:ascii="Times New Roman" w:hAnsi="Times New Roman" w:cs="Times New Roman"/>
          <w:sz w:val="32"/>
          <w:szCs w:val="32"/>
        </w:rPr>
      </w:pPr>
      <w:r w:rsidRPr="00464097">
        <w:rPr>
          <w:rFonts w:ascii="Times New Roman" w:hAnsi="Times New Roman" w:cs="Times New Roman"/>
          <w:b/>
          <w:bCs/>
          <w:sz w:val="32"/>
          <w:szCs w:val="32"/>
        </w:rPr>
        <w:t>- podchod Stoliňská-</w:t>
      </w:r>
      <w:r w:rsidR="000647BC" w:rsidRPr="00464097">
        <w:rPr>
          <w:rFonts w:ascii="Times New Roman" w:hAnsi="Times New Roman" w:cs="Times New Roman"/>
          <w:b/>
          <w:bCs/>
          <w:sz w:val="32"/>
          <w:szCs w:val="32"/>
        </w:rPr>
        <w:t xml:space="preserve"> NABÍDKA NEOTEVÍRAT</w:t>
      </w:r>
    </w:p>
    <w:p w14:paraId="3BFA7CD2" w14:textId="0D51085C" w:rsidR="00DB1DB5" w:rsidRDefault="00DB1DB5" w:rsidP="00DB1DB5">
      <w:pPr>
        <w:pStyle w:val="Tlotextu"/>
        <w:jc w:val="left"/>
        <w:rPr>
          <w:rFonts w:ascii="Times New Roman" w:hAnsi="Times New Roman" w:cs="Times New Roman"/>
          <w:szCs w:val="24"/>
        </w:rPr>
      </w:pPr>
    </w:p>
    <w:p w14:paraId="78BA7454" w14:textId="77777777" w:rsidR="0043290E" w:rsidRPr="00E15907" w:rsidRDefault="0043290E" w:rsidP="00DB1DB5">
      <w:pPr>
        <w:pStyle w:val="Tlotextu"/>
        <w:jc w:val="left"/>
        <w:rPr>
          <w:rFonts w:ascii="Times New Roman" w:hAnsi="Times New Roman" w:cs="Times New Roman"/>
          <w:szCs w:val="24"/>
        </w:rPr>
      </w:pPr>
    </w:p>
    <w:p w14:paraId="0FFEA838" w14:textId="3F711FDB" w:rsidR="00E45E78" w:rsidRDefault="00E45E78" w:rsidP="0043290E">
      <w:pPr>
        <w:pStyle w:val="Tlotextu"/>
        <w:numPr>
          <w:ilvl w:val="0"/>
          <w:numId w:val="18"/>
        </w:numPr>
        <w:jc w:val="left"/>
        <w:rPr>
          <w:rFonts w:ascii="Times New Roman" w:hAnsi="Times New Roman" w:cs="Times New Roman"/>
          <w:b/>
          <w:bCs/>
          <w:szCs w:val="24"/>
        </w:rPr>
      </w:pPr>
      <w:r>
        <w:rPr>
          <w:rFonts w:ascii="Times New Roman" w:hAnsi="Times New Roman" w:cs="Times New Roman"/>
          <w:b/>
          <w:bCs/>
          <w:szCs w:val="24"/>
        </w:rPr>
        <w:t xml:space="preserve">KVALKIFIKAČNÍ </w:t>
      </w:r>
      <w:r w:rsidRPr="00E15907">
        <w:rPr>
          <w:rFonts w:ascii="Times New Roman" w:hAnsi="Times New Roman" w:cs="Times New Roman"/>
          <w:b/>
          <w:bCs/>
          <w:szCs w:val="24"/>
        </w:rPr>
        <w:t>KRITÉRIA</w:t>
      </w:r>
    </w:p>
    <w:p w14:paraId="71DFE807" w14:textId="77777777" w:rsidR="00B151B5" w:rsidRDefault="00B151B5" w:rsidP="00B151B5">
      <w:pPr>
        <w:pStyle w:val="Tlotextu"/>
        <w:ind w:left="1080"/>
        <w:jc w:val="left"/>
        <w:rPr>
          <w:rFonts w:ascii="Times New Roman" w:hAnsi="Times New Roman" w:cs="Times New Roman"/>
          <w:b/>
          <w:bCs/>
          <w:szCs w:val="24"/>
        </w:rPr>
      </w:pPr>
    </w:p>
    <w:p w14:paraId="796578D0" w14:textId="52E9E2E8" w:rsidR="00B151B5" w:rsidRPr="00445951" w:rsidRDefault="00445951" w:rsidP="00445951">
      <w:pPr>
        <w:autoSpaceDE w:val="0"/>
        <w:autoSpaceDN w:val="0"/>
        <w:adjustRightInd w:val="0"/>
        <w:spacing w:after="0" w:line="240" w:lineRule="auto"/>
        <w:jc w:val="both"/>
        <w:rPr>
          <w:rFonts w:ascii="Times New Roman" w:eastAsia="Times New Roman" w:hAnsi="Times New Roman" w:cs="Times New Roman"/>
          <w:lang w:eastAsia="cs-CZ"/>
        </w:rPr>
      </w:pPr>
      <w:r w:rsidRPr="00445951">
        <w:rPr>
          <w:rFonts w:ascii="Times New Roman" w:eastAsia="Times New Roman" w:hAnsi="Times New Roman" w:cs="Times New Roman"/>
          <w:lang w:eastAsia="cs-CZ"/>
        </w:rPr>
        <w:t xml:space="preserve">Zadavatel požaduje, aby dodavatel </w:t>
      </w:r>
      <w:r w:rsidR="00B151B5" w:rsidRPr="00445951">
        <w:rPr>
          <w:rFonts w:ascii="Times New Roman" w:eastAsia="Times New Roman" w:hAnsi="Times New Roman" w:cs="Times New Roman"/>
          <w:b/>
          <w:lang w:eastAsia="cs-CZ"/>
        </w:rPr>
        <w:t>předlož</w:t>
      </w:r>
      <w:r>
        <w:rPr>
          <w:rFonts w:ascii="Times New Roman" w:eastAsia="Times New Roman" w:hAnsi="Times New Roman" w:cs="Times New Roman"/>
          <w:b/>
          <w:lang w:eastAsia="cs-CZ"/>
        </w:rPr>
        <w:t xml:space="preserve">il </w:t>
      </w:r>
      <w:r w:rsidR="00B151B5" w:rsidRPr="00445951">
        <w:rPr>
          <w:rFonts w:ascii="Times New Roman" w:eastAsia="Times New Roman" w:hAnsi="Times New Roman" w:cs="Times New Roman"/>
          <w:b/>
          <w:lang w:eastAsia="cs-CZ"/>
        </w:rPr>
        <w:t>výpis z obchodního rejstříku</w:t>
      </w:r>
      <w:r w:rsidR="00B151B5" w:rsidRPr="00445951">
        <w:rPr>
          <w:rFonts w:ascii="Times New Roman" w:eastAsia="Times New Roman" w:hAnsi="Times New Roman" w:cs="Times New Roman"/>
          <w:lang w:eastAsia="cs-CZ"/>
        </w:rPr>
        <w:t xml:space="preserve"> nebo jiné obdobné evidence, pokud jiný právní předpis zápis do takové evidence vyžaduje.</w:t>
      </w:r>
    </w:p>
    <w:p w14:paraId="48B320C8" w14:textId="77777777" w:rsidR="00B151B5" w:rsidRPr="00B151B5" w:rsidRDefault="00B151B5" w:rsidP="00B151B5">
      <w:pPr>
        <w:pStyle w:val="Odstavecseseznamem"/>
        <w:autoSpaceDE w:val="0"/>
        <w:autoSpaceDN w:val="0"/>
        <w:adjustRightInd w:val="0"/>
        <w:spacing w:after="0" w:line="240" w:lineRule="auto"/>
        <w:ind w:left="284" w:hanging="284"/>
        <w:jc w:val="both"/>
        <w:rPr>
          <w:rFonts w:ascii="Times New Roman" w:eastAsia="Times New Roman" w:hAnsi="Times New Roman" w:cs="Times New Roman"/>
          <w:lang w:eastAsia="cs-CZ"/>
        </w:rPr>
      </w:pPr>
    </w:p>
    <w:p w14:paraId="40962ADE" w14:textId="00E8D0FD" w:rsidR="00B151B5" w:rsidRPr="00445951" w:rsidRDefault="00B151B5" w:rsidP="00445951">
      <w:pPr>
        <w:autoSpaceDE w:val="0"/>
        <w:autoSpaceDN w:val="0"/>
        <w:adjustRightInd w:val="0"/>
        <w:spacing w:after="0" w:line="240" w:lineRule="auto"/>
        <w:jc w:val="both"/>
        <w:rPr>
          <w:rFonts w:ascii="Times New Roman" w:eastAsia="Times New Roman" w:hAnsi="Times New Roman" w:cs="Times New Roman"/>
          <w:lang w:eastAsia="cs-CZ"/>
        </w:rPr>
      </w:pPr>
      <w:r w:rsidRPr="00445951">
        <w:rPr>
          <w:rFonts w:ascii="Times New Roman" w:eastAsia="Times New Roman" w:hAnsi="Times New Roman" w:cs="Times New Roman"/>
          <w:lang w:eastAsia="cs-CZ"/>
        </w:rPr>
        <w:t>Zadavatel požaduje, aby dodavatel ke splnění profesní způsobilosti předložil výpis z živnostenského rejstříku, ze kterého bude patrné, že je oprávněn podnikat v rozsahu odpovídajícímu předmětu veřejné zakázky</w:t>
      </w:r>
      <w:r w:rsidR="00445951" w:rsidRPr="00445951">
        <w:rPr>
          <w:rFonts w:ascii="Times New Roman" w:eastAsia="Times New Roman" w:hAnsi="Times New Roman" w:cs="Times New Roman"/>
          <w:lang w:eastAsia="cs-CZ"/>
        </w:rPr>
        <w:t>,</w:t>
      </w:r>
      <w:r w:rsidRPr="00445951">
        <w:rPr>
          <w:rFonts w:ascii="Times New Roman" w:eastAsia="Times New Roman" w:hAnsi="Times New Roman" w:cs="Times New Roman"/>
          <w:lang w:eastAsia="cs-CZ"/>
        </w:rPr>
        <w:t xml:space="preserve"> a to alespoň v dále uvedených oborech podnikání: </w:t>
      </w:r>
    </w:p>
    <w:p w14:paraId="5BF76DE7" w14:textId="6CE56EEB" w:rsidR="00B151B5" w:rsidRPr="00B151B5" w:rsidRDefault="00B151B5" w:rsidP="00B151B5">
      <w:pPr>
        <w:tabs>
          <w:tab w:val="left" w:pos="1701"/>
        </w:tabs>
        <w:autoSpaceDE w:val="0"/>
        <w:autoSpaceDN w:val="0"/>
        <w:adjustRightInd w:val="0"/>
        <w:spacing w:after="0" w:line="240" w:lineRule="auto"/>
        <w:ind w:left="284" w:hanging="284"/>
        <w:jc w:val="both"/>
        <w:rPr>
          <w:rFonts w:ascii="Times New Roman" w:eastAsia="Times New Roman" w:hAnsi="Times New Roman" w:cs="Times New Roman"/>
          <w:lang w:eastAsia="cs-CZ"/>
        </w:rPr>
      </w:pPr>
    </w:p>
    <w:p w14:paraId="3E400CF0" w14:textId="59A2BEF9" w:rsidR="00B151B5" w:rsidRPr="00B151B5" w:rsidRDefault="00B151B5" w:rsidP="00B151B5">
      <w:pPr>
        <w:pStyle w:val="Odstavecseseznamem"/>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lang w:eastAsia="cs-CZ"/>
        </w:rPr>
      </w:pPr>
      <w:r w:rsidRPr="00B151B5">
        <w:rPr>
          <w:rFonts w:ascii="Times New Roman" w:eastAsia="Times New Roman" w:hAnsi="Times New Roman" w:cs="Times New Roman"/>
          <w:b/>
          <w:bCs/>
          <w:lang w:eastAsia="cs-CZ"/>
        </w:rPr>
        <w:t>projektová činnost ve výstavbě</w:t>
      </w:r>
    </w:p>
    <w:p w14:paraId="3A3D1ABF" w14:textId="77777777" w:rsidR="00B151B5" w:rsidRPr="00863F6E" w:rsidRDefault="00B151B5" w:rsidP="00B151B5">
      <w:pPr>
        <w:autoSpaceDE w:val="0"/>
        <w:autoSpaceDN w:val="0"/>
        <w:adjustRightInd w:val="0"/>
        <w:ind w:left="1728"/>
        <w:jc w:val="both"/>
        <w:rPr>
          <w:rFonts w:eastAsia="Times New Roman" w:cs="Times New Roman"/>
          <w:lang w:eastAsia="cs-CZ"/>
        </w:rPr>
      </w:pPr>
    </w:p>
    <w:p w14:paraId="798B94D8" w14:textId="7ADA11CF" w:rsidR="00E45E78" w:rsidRDefault="00E45E78" w:rsidP="00E45E78">
      <w:pPr>
        <w:pStyle w:val="Tlotextu"/>
        <w:jc w:val="left"/>
        <w:rPr>
          <w:rFonts w:ascii="Times New Roman" w:hAnsi="Times New Roman" w:cs="Times New Roman"/>
          <w:b/>
          <w:bCs/>
          <w:szCs w:val="24"/>
        </w:rPr>
      </w:pPr>
    </w:p>
    <w:p w14:paraId="1AEA2F68" w14:textId="77777777" w:rsidR="00E45E78" w:rsidRDefault="00E45E78" w:rsidP="00E45E78">
      <w:pPr>
        <w:pStyle w:val="Tlotextu"/>
        <w:jc w:val="left"/>
        <w:rPr>
          <w:rFonts w:ascii="Times New Roman" w:hAnsi="Times New Roman" w:cs="Times New Roman"/>
          <w:b/>
          <w:bCs/>
          <w:szCs w:val="24"/>
        </w:rPr>
      </w:pPr>
    </w:p>
    <w:p w14:paraId="1393597C" w14:textId="518FAD78" w:rsidR="00B4071C" w:rsidRPr="00E15907" w:rsidRDefault="000647BC" w:rsidP="0043290E">
      <w:pPr>
        <w:pStyle w:val="Tlotextu"/>
        <w:numPr>
          <w:ilvl w:val="0"/>
          <w:numId w:val="18"/>
        </w:numPr>
        <w:jc w:val="left"/>
        <w:rPr>
          <w:rFonts w:ascii="Times New Roman" w:hAnsi="Times New Roman" w:cs="Times New Roman"/>
          <w:b/>
          <w:bCs/>
          <w:szCs w:val="24"/>
        </w:rPr>
      </w:pPr>
      <w:r w:rsidRPr="00E15907">
        <w:rPr>
          <w:rFonts w:ascii="Times New Roman" w:hAnsi="Times New Roman" w:cs="Times New Roman"/>
          <w:b/>
          <w:bCs/>
          <w:szCs w:val="24"/>
        </w:rPr>
        <w:t xml:space="preserve"> HODNOTÍCÍ KRITÉRIA </w:t>
      </w:r>
    </w:p>
    <w:p w14:paraId="16DCB1AE" w14:textId="77777777" w:rsidR="00B4071C" w:rsidRPr="00E15907" w:rsidRDefault="00B4071C" w:rsidP="00DB1DB5">
      <w:pPr>
        <w:pStyle w:val="Tlotextu"/>
        <w:jc w:val="left"/>
        <w:rPr>
          <w:rFonts w:ascii="Times New Roman" w:hAnsi="Times New Roman" w:cs="Times New Roman"/>
          <w:szCs w:val="24"/>
        </w:rPr>
      </w:pPr>
    </w:p>
    <w:p w14:paraId="2B992C90" w14:textId="09F53034" w:rsidR="00DB1DB5" w:rsidRPr="00E15907" w:rsidRDefault="00EE4351" w:rsidP="00B4071C">
      <w:pPr>
        <w:pStyle w:val="Tlotextu"/>
        <w:jc w:val="both"/>
        <w:rPr>
          <w:rFonts w:ascii="Times New Roman" w:hAnsi="Times New Roman" w:cs="Times New Roman"/>
          <w:szCs w:val="24"/>
        </w:rPr>
      </w:pPr>
      <w:r>
        <w:rPr>
          <w:rFonts w:ascii="Times New Roman" w:hAnsi="Times New Roman" w:cs="Times New Roman"/>
          <w:szCs w:val="24"/>
        </w:rPr>
        <w:t xml:space="preserve">Zadavatel vyhodnotí nabídku </w:t>
      </w:r>
      <w:r w:rsidRPr="00445951">
        <w:rPr>
          <w:rFonts w:ascii="Times New Roman" w:hAnsi="Times New Roman" w:cs="Times New Roman"/>
          <w:b/>
          <w:bCs/>
          <w:szCs w:val="24"/>
        </w:rPr>
        <w:t xml:space="preserve">dle ustanovení čl. </w:t>
      </w:r>
      <w:r w:rsidR="00E45E78" w:rsidRPr="00445951">
        <w:rPr>
          <w:rFonts w:ascii="Times New Roman" w:hAnsi="Times New Roman" w:cs="Times New Roman"/>
          <w:b/>
          <w:bCs/>
          <w:szCs w:val="24"/>
        </w:rPr>
        <w:t>8</w:t>
      </w:r>
      <w:r w:rsidRPr="00445951">
        <w:rPr>
          <w:rFonts w:ascii="Times New Roman" w:hAnsi="Times New Roman" w:cs="Times New Roman"/>
          <w:b/>
          <w:bCs/>
          <w:szCs w:val="24"/>
        </w:rPr>
        <w:t xml:space="preserve"> Směrnic</w:t>
      </w:r>
      <w:r w:rsidR="005D6306" w:rsidRPr="00445951">
        <w:rPr>
          <w:rFonts w:ascii="Times New Roman" w:hAnsi="Times New Roman" w:cs="Times New Roman"/>
          <w:b/>
          <w:bCs/>
          <w:szCs w:val="24"/>
        </w:rPr>
        <w:t>e</w:t>
      </w:r>
      <w:r w:rsidRPr="00E15907">
        <w:rPr>
          <w:rFonts w:ascii="Times New Roman" w:hAnsi="Times New Roman" w:cs="Times New Roman"/>
          <w:bCs/>
          <w:szCs w:val="24"/>
        </w:rPr>
        <w:t xml:space="preserve"> o zadávání veřejných zakázek malého rozsahu č. 4/202</w:t>
      </w:r>
      <w:r>
        <w:rPr>
          <w:rFonts w:ascii="Times New Roman" w:hAnsi="Times New Roman" w:cs="Times New Roman"/>
          <w:bCs/>
          <w:szCs w:val="24"/>
        </w:rPr>
        <w:t>0.</w:t>
      </w:r>
      <w:r w:rsidR="000647BC" w:rsidRPr="00E15907">
        <w:rPr>
          <w:rFonts w:ascii="Times New Roman" w:hAnsi="Times New Roman" w:cs="Times New Roman"/>
          <w:szCs w:val="24"/>
        </w:rPr>
        <w:t xml:space="preserve"> </w:t>
      </w:r>
    </w:p>
    <w:p w14:paraId="2E4F6DAD" w14:textId="77777777" w:rsidR="00DB1DB5" w:rsidRPr="00E15907" w:rsidRDefault="00DB1DB5" w:rsidP="00DB1DB5">
      <w:pPr>
        <w:pStyle w:val="Tlotextu"/>
        <w:jc w:val="left"/>
        <w:rPr>
          <w:rFonts w:ascii="Times New Roman" w:hAnsi="Times New Roman" w:cs="Times New Roman"/>
          <w:szCs w:val="24"/>
        </w:rPr>
      </w:pPr>
    </w:p>
    <w:p w14:paraId="382F45C3" w14:textId="77777777" w:rsidR="00837EB5" w:rsidRPr="00E15907" w:rsidRDefault="00837EB5" w:rsidP="00837EB5">
      <w:pPr>
        <w:pStyle w:val="Tlotextu"/>
        <w:jc w:val="both"/>
        <w:rPr>
          <w:rFonts w:ascii="Times New Roman" w:hAnsi="Times New Roman" w:cs="Times New Roman"/>
          <w:szCs w:val="24"/>
        </w:rPr>
      </w:pPr>
    </w:p>
    <w:p w14:paraId="0894215C" w14:textId="73B01189" w:rsidR="00837EB5" w:rsidRPr="00E15907" w:rsidRDefault="00837EB5" w:rsidP="00837EB5">
      <w:pPr>
        <w:pStyle w:val="Tlotextu"/>
        <w:jc w:val="both"/>
        <w:rPr>
          <w:rFonts w:ascii="Times New Roman" w:hAnsi="Times New Roman" w:cs="Times New Roman"/>
          <w:szCs w:val="24"/>
        </w:rPr>
      </w:pPr>
      <w:r w:rsidRPr="00E15907">
        <w:rPr>
          <w:rFonts w:ascii="Times New Roman" w:hAnsi="Times New Roman" w:cs="Times New Roman"/>
          <w:szCs w:val="24"/>
        </w:rPr>
        <w:t xml:space="preserve">V Praze dne </w:t>
      </w:r>
      <w:r w:rsidR="00464097">
        <w:rPr>
          <w:rFonts w:ascii="Times New Roman" w:hAnsi="Times New Roman" w:cs="Times New Roman"/>
          <w:szCs w:val="24"/>
        </w:rPr>
        <w:t>27</w:t>
      </w:r>
      <w:r w:rsidR="00577338">
        <w:rPr>
          <w:rFonts w:ascii="Times New Roman" w:hAnsi="Times New Roman" w:cs="Times New Roman"/>
          <w:szCs w:val="24"/>
        </w:rPr>
        <w:t>.</w:t>
      </w:r>
      <w:r w:rsidR="00464097">
        <w:rPr>
          <w:rFonts w:ascii="Times New Roman" w:hAnsi="Times New Roman" w:cs="Times New Roman"/>
          <w:szCs w:val="24"/>
        </w:rPr>
        <w:t>4</w:t>
      </w:r>
      <w:r w:rsidR="000201BB" w:rsidRPr="00E15907">
        <w:rPr>
          <w:rFonts w:ascii="Times New Roman" w:hAnsi="Times New Roman" w:cs="Times New Roman"/>
          <w:szCs w:val="24"/>
        </w:rPr>
        <w:t>.20</w:t>
      </w:r>
      <w:r w:rsidR="0050761A" w:rsidRPr="00E15907">
        <w:rPr>
          <w:rFonts w:ascii="Times New Roman" w:hAnsi="Times New Roman" w:cs="Times New Roman"/>
          <w:szCs w:val="24"/>
        </w:rPr>
        <w:t>2</w:t>
      </w:r>
      <w:r w:rsidR="00464097">
        <w:rPr>
          <w:rFonts w:ascii="Times New Roman" w:hAnsi="Times New Roman" w:cs="Times New Roman"/>
          <w:szCs w:val="24"/>
        </w:rPr>
        <w:t>2</w:t>
      </w:r>
    </w:p>
    <w:p w14:paraId="1AC733E2" w14:textId="77777777" w:rsidR="00837EB5" w:rsidRPr="00E15907" w:rsidRDefault="00837EB5" w:rsidP="00837EB5">
      <w:pPr>
        <w:pStyle w:val="Tlotextu"/>
        <w:jc w:val="both"/>
        <w:rPr>
          <w:rFonts w:ascii="Times New Roman" w:hAnsi="Times New Roman" w:cs="Times New Roman"/>
          <w:szCs w:val="24"/>
        </w:rPr>
      </w:pPr>
    </w:p>
    <w:p w14:paraId="671E27B6" w14:textId="77777777" w:rsidR="00837EB5" w:rsidRPr="00E15907" w:rsidRDefault="00837EB5" w:rsidP="00837EB5">
      <w:pPr>
        <w:pStyle w:val="Tlotextu"/>
        <w:rPr>
          <w:rFonts w:ascii="Times New Roman" w:hAnsi="Times New Roman" w:cs="Times New Roman"/>
          <w:szCs w:val="24"/>
        </w:rPr>
      </w:pPr>
      <w:r w:rsidRPr="00E15907">
        <w:rPr>
          <w:rFonts w:ascii="Times New Roman" w:hAnsi="Times New Roman" w:cs="Times New Roman"/>
          <w:szCs w:val="24"/>
        </w:rPr>
        <w:t>Ing. Michal Biskup, starosta</w:t>
      </w:r>
    </w:p>
    <w:p w14:paraId="0AE65D51" w14:textId="240DC296" w:rsidR="00837EB5" w:rsidRDefault="00837EB5" w:rsidP="00837EB5">
      <w:pPr>
        <w:pStyle w:val="Tlotextu"/>
        <w:rPr>
          <w:rFonts w:ascii="Times New Roman" w:hAnsi="Times New Roman" w:cs="Times New Roman"/>
          <w:b/>
          <w:bCs/>
          <w:szCs w:val="24"/>
        </w:rPr>
      </w:pPr>
      <w:r w:rsidRPr="00E15907">
        <w:rPr>
          <w:rFonts w:ascii="Times New Roman" w:hAnsi="Times New Roman" w:cs="Times New Roman"/>
          <w:b/>
          <w:bCs/>
          <w:szCs w:val="24"/>
        </w:rPr>
        <w:t>Městská část Praha Vinoř</w:t>
      </w:r>
    </w:p>
    <w:p w14:paraId="727915F9" w14:textId="77777777" w:rsidR="00445951" w:rsidRDefault="00445951" w:rsidP="0043290E">
      <w:pPr>
        <w:pStyle w:val="Tlotextu"/>
        <w:jc w:val="left"/>
        <w:rPr>
          <w:rFonts w:ascii="Times New Roman" w:hAnsi="Times New Roman" w:cs="Times New Roman"/>
          <w:b/>
          <w:bCs/>
          <w:szCs w:val="24"/>
        </w:rPr>
      </w:pPr>
    </w:p>
    <w:p w14:paraId="609B6349" w14:textId="77777777" w:rsidR="00445951" w:rsidRDefault="00445951" w:rsidP="0043290E">
      <w:pPr>
        <w:pStyle w:val="Tlotextu"/>
        <w:jc w:val="left"/>
        <w:rPr>
          <w:rFonts w:ascii="Times New Roman" w:hAnsi="Times New Roman" w:cs="Times New Roman"/>
          <w:b/>
          <w:bCs/>
          <w:szCs w:val="24"/>
        </w:rPr>
      </w:pPr>
    </w:p>
    <w:p w14:paraId="69C458BD" w14:textId="77777777" w:rsidR="00445951" w:rsidRDefault="00445951" w:rsidP="0043290E">
      <w:pPr>
        <w:pStyle w:val="Tlotextu"/>
        <w:jc w:val="left"/>
        <w:rPr>
          <w:rFonts w:ascii="Times New Roman" w:hAnsi="Times New Roman" w:cs="Times New Roman"/>
          <w:b/>
          <w:bCs/>
          <w:szCs w:val="24"/>
        </w:rPr>
      </w:pPr>
    </w:p>
    <w:p w14:paraId="40C35162" w14:textId="77777777" w:rsidR="00445951" w:rsidRDefault="00445951" w:rsidP="0043290E">
      <w:pPr>
        <w:pStyle w:val="Tlotextu"/>
        <w:jc w:val="left"/>
        <w:rPr>
          <w:rFonts w:ascii="Times New Roman" w:hAnsi="Times New Roman" w:cs="Times New Roman"/>
          <w:b/>
          <w:bCs/>
          <w:szCs w:val="24"/>
        </w:rPr>
      </w:pPr>
    </w:p>
    <w:p w14:paraId="2F0351F3" w14:textId="2C8D38A8" w:rsidR="003C1DBD" w:rsidRDefault="0043290E" w:rsidP="0043290E">
      <w:pPr>
        <w:pStyle w:val="Tlotextu"/>
        <w:jc w:val="left"/>
        <w:rPr>
          <w:rFonts w:ascii="Times New Roman" w:hAnsi="Times New Roman" w:cs="Times New Roman"/>
          <w:b/>
          <w:bCs/>
          <w:szCs w:val="24"/>
        </w:rPr>
      </w:pPr>
      <w:r>
        <w:rPr>
          <w:rFonts w:ascii="Times New Roman" w:hAnsi="Times New Roman" w:cs="Times New Roman"/>
          <w:b/>
          <w:bCs/>
          <w:szCs w:val="24"/>
        </w:rPr>
        <w:t>Příloh</w:t>
      </w:r>
      <w:r w:rsidR="003C1DBD">
        <w:rPr>
          <w:rFonts w:ascii="Times New Roman" w:hAnsi="Times New Roman" w:cs="Times New Roman"/>
          <w:b/>
          <w:bCs/>
          <w:szCs w:val="24"/>
        </w:rPr>
        <w:t>y</w:t>
      </w:r>
      <w:r>
        <w:rPr>
          <w:rFonts w:ascii="Times New Roman" w:hAnsi="Times New Roman" w:cs="Times New Roman"/>
          <w:b/>
          <w:bCs/>
          <w:szCs w:val="24"/>
        </w:rPr>
        <w:t>:</w:t>
      </w:r>
    </w:p>
    <w:p w14:paraId="42DE90F2" w14:textId="2015F9F7" w:rsidR="003C1DBD" w:rsidRDefault="003C1DBD" w:rsidP="003C1DBD">
      <w:pPr>
        <w:pStyle w:val="Tlotextu"/>
        <w:numPr>
          <w:ilvl w:val="0"/>
          <w:numId w:val="19"/>
        </w:numPr>
        <w:jc w:val="left"/>
        <w:rPr>
          <w:rFonts w:ascii="Times New Roman" w:hAnsi="Times New Roman" w:cs="Times New Roman"/>
          <w:szCs w:val="24"/>
        </w:rPr>
      </w:pPr>
      <w:r w:rsidRPr="00D50A49">
        <w:rPr>
          <w:rFonts w:ascii="Times New Roman" w:hAnsi="Times New Roman" w:cs="Times New Roman"/>
          <w:szCs w:val="24"/>
        </w:rPr>
        <w:t xml:space="preserve">Krycí list </w:t>
      </w:r>
    </w:p>
    <w:p w14:paraId="3EEEC8F0" w14:textId="61A9FE5A" w:rsidR="0043290E" w:rsidRPr="00D50A49" w:rsidRDefault="0043290E" w:rsidP="003C1DBD">
      <w:pPr>
        <w:pStyle w:val="Tlotextu"/>
        <w:numPr>
          <w:ilvl w:val="0"/>
          <w:numId w:val="19"/>
        </w:numPr>
        <w:jc w:val="left"/>
        <w:rPr>
          <w:rFonts w:ascii="Times New Roman" w:hAnsi="Times New Roman" w:cs="Times New Roman"/>
          <w:szCs w:val="24"/>
        </w:rPr>
      </w:pPr>
      <w:r w:rsidRPr="00D50A49">
        <w:rPr>
          <w:rFonts w:ascii="Times New Roman" w:hAnsi="Times New Roman" w:cs="Times New Roman"/>
          <w:szCs w:val="24"/>
        </w:rPr>
        <w:t>Studie proveditelnosti Cyklostezka A50 - podchod Stoliňská, zpracovanou 03/2022 se zakázkovým číslem 21054</w:t>
      </w:r>
    </w:p>
    <w:sectPr w:rsidR="0043290E" w:rsidRPr="00D50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pStyle w:val="titre4"/>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rFonts w:ascii="Times New Roman" w:hAnsi="Times New Roman" w:cs="Times New Roman"/>
        <w:b/>
        <w:i w:val="0"/>
        <w:color w:val="auto"/>
      </w:rPr>
    </w:lvl>
    <w:lvl w:ilvl="2">
      <w:start w:val="1"/>
      <w:numFmt w:val="decimal"/>
      <w:lvlText w:val="%1.%2.%3."/>
      <w:lvlJc w:val="left"/>
      <w:pPr>
        <w:tabs>
          <w:tab w:val="num" w:pos="862"/>
        </w:tabs>
        <w:ind w:left="646" w:hanging="504"/>
      </w:pPr>
    </w:lvl>
    <w:lvl w:ilvl="3">
      <w:start w:val="1"/>
      <w:numFmt w:val="decimal"/>
      <w:lvlText w:val="%1.%2.%3.%4."/>
      <w:lvlJc w:val="left"/>
      <w:pPr>
        <w:tabs>
          <w:tab w:val="num" w:pos="108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96F9D"/>
    <w:multiLevelType w:val="multilevel"/>
    <w:tmpl w:val="3FC28454"/>
    <w:lvl w:ilvl="0">
      <w:start w:val="7"/>
      <w:numFmt w:val="decimal"/>
      <w:lvlText w:val="%1"/>
      <w:lvlJc w:val="left"/>
      <w:pPr>
        <w:ind w:left="660" w:hanging="660"/>
      </w:pPr>
      <w:rPr>
        <w:rFonts w:hint="default"/>
        <w:b/>
      </w:rPr>
    </w:lvl>
    <w:lvl w:ilvl="1">
      <w:start w:val="3"/>
      <w:numFmt w:val="decimal"/>
      <w:lvlText w:val="%1.%2"/>
      <w:lvlJc w:val="left"/>
      <w:pPr>
        <w:ind w:left="896" w:hanging="660"/>
      </w:pPr>
      <w:rPr>
        <w:rFonts w:hint="default"/>
        <w:b/>
      </w:rPr>
    </w:lvl>
    <w:lvl w:ilvl="2">
      <w:start w:val="3"/>
      <w:numFmt w:val="decimal"/>
      <w:lvlText w:val="%1.%2.%3"/>
      <w:lvlJc w:val="left"/>
      <w:pPr>
        <w:ind w:left="1192" w:hanging="720"/>
      </w:pPr>
      <w:rPr>
        <w:rFonts w:hint="default"/>
        <w:b/>
      </w:rPr>
    </w:lvl>
    <w:lvl w:ilvl="3">
      <w:start w:val="1"/>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 w15:restartNumberingAfterBreak="0">
    <w:nsid w:val="0E157559"/>
    <w:multiLevelType w:val="hybridMultilevel"/>
    <w:tmpl w:val="6F84B2DA"/>
    <w:lvl w:ilvl="0" w:tplc="5A9A2FD6">
      <w:start w:val="1"/>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931D6"/>
    <w:multiLevelType w:val="hybridMultilevel"/>
    <w:tmpl w:val="156C2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4310302"/>
    <w:multiLevelType w:val="hybridMultilevel"/>
    <w:tmpl w:val="C332E39A"/>
    <w:lvl w:ilvl="0" w:tplc="54E8E1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D6463DD"/>
    <w:multiLevelType w:val="hybridMultilevel"/>
    <w:tmpl w:val="B1C2E9C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E8576C"/>
    <w:multiLevelType w:val="hybridMultilevel"/>
    <w:tmpl w:val="4EC43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1D7E49"/>
    <w:multiLevelType w:val="hybridMultilevel"/>
    <w:tmpl w:val="5F8043E0"/>
    <w:lvl w:ilvl="0" w:tplc="B9E0378C">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5C64A9"/>
    <w:multiLevelType w:val="hybridMultilevel"/>
    <w:tmpl w:val="7B8C3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F07379"/>
    <w:multiLevelType w:val="hybridMultilevel"/>
    <w:tmpl w:val="6922BC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5F00E7"/>
    <w:multiLevelType w:val="hybridMultilevel"/>
    <w:tmpl w:val="9FB20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5165F6"/>
    <w:multiLevelType w:val="hybridMultilevel"/>
    <w:tmpl w:val="F01014DA"/>
    <w:lvl w:ilvl="0" w:tplc="723244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57694757">
    <w:abstractNumId w:val="18"/>
  </w:num>
  <w:num w:numId="2" w16cid:durableId="441803974">
    <w:abstractNumId w:val="21"/>
  </w:num>
  <w:num w:numId="3" w16cid:durableId="738283339">
    <w:abstractNumId w:val="15"/>
  </w:num>
  <w:num w:numId="4" w16cid:durableId="1650134580">
    <w:abstractNumId w:val="12"/>
  </w:num>
  <w:num w:numId="5" w16cid:durableId="2054192543">
    <w:abstractNumId w:val="4"/>
  </w:num>
  <w:num w:numId="6" w16cid:durableId="438723673">
    <w:abstractNumId w:val="11"/>
  </w:num>
  <w:num w:numId="7" w16cid:durableId="551115573">
    <w:abstractNumId w:val="9"/>
  </w:num>
  <w:num w:numId="8" w16cid:durableId="768157005">
    <w:abstractNumId w:val="20"/>
  </w:num>
  <w:num w:numId="9" w16cid:durableId="719744124">
    <w:abstractNumId w:val="16"/>
  </w:num>
  <w:num w:numId="10" w16cid:durableId="386489211">
    <w:abstractNumId w:val="1"/>
  </w:num>
  <w:num w:numId="11" w16cid:durableId="937517855">
    <w:abstractNumId w:val="7"/>
  </w:num>
  <w:num w:numId="12" w16cid:durableId="691302752">
    <w:abstractNumId w:val="5"/>
  </w:num>
  <w:num w:numId="13" w16cid:durableId="464667874">
    <w:abstractNumId w:val="5"/>
  </w:num>
  <w:num w:numId="14" w16cid:durableId="1600063105">
    <w:abstractNumId w:val="17"/>
  </w:num>
  <w:num w:numId="15" w16cid:durableId="205289687">
    <w:abstractNumId w:val="14"/>
  </w:num>
  <w:num w:numId="16" w16cid:durableId="98262443">
    <w:abstractNumId w:val="8"/>
  </w:num>
  <w:num w:numId="17" w16cid:durableId="332147754">
    <w:abstractNumId w:val="10"/>
  </w:num>
  <w:num w:numId="18" w16cid:durableId="206727550">
    <w:abstractNumId w:val="13"/>
  </w:num>
  <w:num w:numId="19" w16cid:durableId="1153134046">
    <w:abstractNumId w:val="19"/>
  </w:num>
  <w:num w:numId="20" w16cid:durableId="652639085">
    <w:abstractNumId w:val="0"/>
  </w:num>
  <w:num w:numId="21" w16cid:durableId="1245796325">
    <w:abstractNumId w:val="2"/>
  </w:num>
  <w:num w:numId="22" w16cid:durableId="129523615">
    <w:abstractNumId w:val="6"/>
  </w:num>
  <w:num w:numId="23" w16cid:durableId="1256741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28290C"/>
    <w:rsid w:val="0029411B"/>
    <w:rsid w:val="002D70E1"/>
    <w:rsid w:val="003A198B"/>
    <w:rsid w:val="003A3E45"/>
    <w:rsid w:val="003C1DBD"/>
    <w:rsid w:val="003C6F37"/>
    <w:rsid w:val="0043290E"/>
    <w:rsid w:val="00445951"/>
    <w:rsid w:val="00464097"/>
    <w:rsid w:val="004B4598"/>
    <w:rsid w:val="0050761A"/>
    <w:rsid w:val="005706DE"/>
    <w:rsid w:val="00577338"/>
    <w:rsid w:val="005D6306"/>
    <w:rsid w:val="007D6C04"/>
    <w:rsid w:val="007F2479"/>
    <w:rsid w:val="00837EB5"/>
    <w:rsid w:val="00861FB1"/>
    <w:rsid w:val="0088536B"/>
    <w:rsid w:val="00891B4C"/>
    <w:rsid w:val="008A36F9"/>
    <w:rsid w:val="00A1308D"/>
    <w:rsid w:val="00A75FB0"/>
    <w:rsid w:val="00AB5AF2"/>
    <w:rsid w:val="00B151B5"/>
    <w:rsid w:val="00B4071C"/>
    <w:rsid w:val="00B5148E"/>
    <w:rsid w:val="00BB1818"/>
    <w:rsid w:val="00C9140A"/>
    <w:rsid w:val="00CF2A2C"/>
    <w:rsid w:val="00D15796"/>
    <w:rsid w:val="00D50A49"/>
    <w:rsid w:val="00DB1DB5"/>
    <w:rsid w:val="00DB24A8"/>
    <w:rsid w:val="00DC76A7"/>
    <w:rsid w:val="00DD65D9"/>
    <w:rsid w:val="00E15907"/>
    <w:rsid w:val="00E45E78"/>
    <w:rsid w:val="00E47C1D"/>
    <w:rsid w:val="00EB27C7"/>
    <w:rsid w:val="00ED4E0B"/>
    <w:rsid w:val="00EE4351"/>
    <w:rsid w:val="00F01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311F"/>
  <w15:chartTrackingRefBased/>
  <w15:docId w15:val="{4B363A34-8132-4F1D-AD11-4CFBD99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styleId="Nevyeenzmnka">
    <w:name w:val="Unresolved Mention"/>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paragraph" w:styleId="Normlnweb">
    <w:name w:val="Normal (Web)"/>
    <w:basedOn w:val="Normln"/>
    <w:uiPriority w:val="99"/>
    <w:semiHidden/>
    <w:unhideWhenUsed/>
    <w:rsid w:val="0057733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AOdstavec">
    <w:name w:val="AA_Odstavec"/>
    <w:basedOn w:val="Normln"/>
    <w:rsid w:val="00B151B5"/>
    <w:pPr>
      <w:widowControl w:val="0"/>
      <w:suppressAutoHyphens/>
      <w:spacing w:after="0" w:line="240" w:lineRule="auto"/>
      <w:jc w:val="both"/>
    </w:pPr>
    <w:rPr>
      <w:rFonts w:ascii="Arial" w:eastAsia="Arial Unicode MS" w:hAnsi="Arial" w:cs="Arial"/>
      <w:kern w:val="1"/>
      <w:sz w:val="20"/>
      <w:szCs w:val="24"/>
      <w:lang w:eastAsia="hi-IN" w:bidi="hi-IN"/>
    </w:rPr>
  </w:style>
  <w:style w:type="paragraph" w:customStyle="1" w:styleId="titre4">
    <w:name w:val="titre4"/>
    <w:basedOn w:val="Normln"/>
    <w:rsid w:val="00B151B5"/>
    <w:pPr>
      <w:widowControl w:val="0"/>
      <w:numPr>
        <w:numId w:val="20"/>
      </w:numPr>
      <w:suppressAutoHyphens/>
      <w:spacing w:after="0" w:line="240" w:lineRule="auto"/>
      <w:jc w:val="both"/>
    </w:pPr>
    <w:rPr>
      <w:rFonts w:ascii="Times New Roman" w:eastAsia="Arial Unicode MS"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404">
      <w:bodyDiv w:val="1"/>
      <w:marLeft w:val="0"/>
      <w:marRight w:val="0"/>
      <w:marTop w:val="0"/>
      <w:marBottom w:val="0"/>
      <w:divBdr>
        <w:top w:val="none" w:sz="0" w:space="0" w:color="auto"/>
        <w:left w:val="none" w:sz="0" w:space="0" w:color="auto"/>
        <w:bottom w:val="none" w:sz="0" w:space="0" w:color="auto"/>
        <w:right w:val="none" w:sz="0" w:space="0" w:color="auto"/>
      </w:divBdr>
    </w:div>
    <w:div w:id="212354059">
      <w:bodyDiv w:val="1"/>
      <w:marLeft w:val="0"/>
      <w:marRight w:val="0"/>
      <w:marTop w:val="0"/>
      <w:marBottom w:val="0"/>
      <w:divBdr>
        <w:top w:val="none" w:sz="0" w:space="0" w:color="auto"/>
        <w:left w:val="none" w:sz="0" w:space="0" w:color="auto"/>
        <w:bottom w:val="none" w:sz="0" w:space="0" w:color="auto"/>
        <w:right w:val="none" w:sz="0" w:space="0" w:color="auto"/>
      </w:divBdr>
    </w:div>
    <w:div w:id="943882056">
      <w:bodyDiv w:val="1"/>
      <w:marLeft w:val="0"/>
      <w:marRight w:val="0"/>
      <w:marTop w:val="0"/>
      <w:marBottom w:val="0"/>
      <w:divBdr>
        <w:top w:val="none" w:sz="0" w:space="0" w:color="auto"/>
        <w:left w:val="none" w:sz="0" w:space="0" w:color="auto"/>
        <w:bottom w:val="none" w:sz="0" w:space="0" w:color="auto"/>
        <w:right w:val="none" w:sz="0" w:space="0" w:color="auto"/>
      </w:divBdr>
    </w:div>
    <w:div w:id="1033312002">
      <w:bodyDiv w:val="1"/>
      <w:marLeft w:val="0"/>
      <w:marRight w:val="0"/>
      <w:marTop w:val="0"/>
      <w:marBottom w:val="0"/>
      <w:divBdr>
        <w:top w:val="none" w:sz="0" w:space="0" w:color="auto"/>
        <w:left w:val="none" w:sz="0" w:space="0" w:color="auto"/>
        <w:bottom w:val="none" w:sz="0" w:space="0" w:color="auto"/>
        <w:right w:val="none" w:sz="0" w:space="0" w:color="auto"/>
      </w:divBdr>
    </w:div>
    <w:div w:id="1151292087">
      <w:bodyDiv w:val="1"/>
      <w:marLeft w:val="0"/>
      <w:marRight w:val="0"/>
      <w:marTop w:val="0"/>
      <w:marBottom w:val="0"/>
      <w:divBdr>
        <w:top w:val="none" w:sz="0" w:space="0" w:color="auto"/>
        <w:left w:val="none" w:sz="0" w:space="0" w:color="auto"/>
        <w:bottom w:val="none" w:sz="0" w:space="0" w:color="auto"/>
        <w:right w:val="none" w:sz="0" w:space="0" w:color="auto"/>
      </w:divBdr>
    </w:div>
    <w:div w:id="1187449331">
      <w:bodyDiv w:val="1"/>
      <w:marLeft w:val="0"/>
      <w:marRight w:val="0"/>
      <w:marTop w:val="0"/>
      <w:marBottom w:val="0"/>
      <w:divBdr>
        <w:top w:val="none" w:sz="0" w:space="0" w:color="auto"/>
        <w:left w:val="none" w:sz="0" w:space="0" w:color="auto"/>
        <w:bottom w:val="none" w:sz="0" w:space="0" w:color="auto"/>
        <w:right w:val="none" w:sz="0" w:space="0" w:color="auto"/>
      </w:divBdr>
    </w:div>
    <w:div w:id="1286816723">
      <w:bodyDiv w:val="1"/>
      <w:marLeft w:val="0"/>
      <w:marRight w:val="0"/>
      <w:marTop w:val="0"/>
      <w:marBottom w:val="0"/>
      <w:divBdr>
        <w:top w:val="none" w:sz="0" w:space="0" w:color="auto"/>
        <w:left w:val="none" w:sz="0" w:space="0" w:color="auto"/>
        <w:bottom w:val="none" w:sz="0" w:space="0" w:color="auto"/>
        <w:right w:val="none" w:sz="0" w:space="0" w:color="auto"/>
      </w:divBdr>
    </w:div>
    <w:div w:id="1378898414">
      <w:bodyDiv w:val="1"/>
      <w:marLeft w:val="0"/>
      <w:marRight w:val="0"/>
      <w:marTop w:val="0"/>
      <w:marBottom w:val="0"/>
      <w:divBdr>
        <w:top w:val="none" w:sz="0" w:space="0" w:color="auto"/>
        <w:left w:val="none" w:sz="0" w:space="0" w:color="auto"/>
        <w:bottom w:val="none" w:sz="0" w:space="0" w:color="auto"/>
        <w:right w:val="none" w:sz="0" w:space="0" w:color="auto"/>
      </w:divBdr>
    </w:div>
    <w:div w:id="1857621640">
      <w:bodyDiv w:val="1"/>
      <w:marLeft w:val="0"/>
      <w:marRight w:val="0"/>
      <w:marTop w:val="0"/>
      <w:marBottom w:val="0"/>
      <w:divBdr>
        <w:top w:val="none" w:sz="0" w:space="0" w:color="auto"/>
        <w:left w:val="none" w:sz="0" w:space="0" w:color="auto"/>
        <w:bottom w:val="none" w:sz="0" w:space="0" w:color="auto"/>
        <w:right w:val="none" w:sz="0" w:space="0" w:color="auto"/>
      </w:divBdr>
    </w:div>
    <w:div w:id="21103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ha-vinor.cz/" TargetMode="External"/><Relationship Id="rId5" Type="http://schemas.openxmlformats.org/officeDocument/2006/relationships/hyperlink" Target="mailto:michal.biskup@praha-vino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1487</Words>
  <Characters>8776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Oswald</dc:creator>
  <cp:keywords/>
  <dc:description/>
  <cp:lastModifiedBy>Martina Mikešová</cp:lastModifiedBy>
  <cp:revision>3</cp:revision>
  <cp:lastPrinted>2019-08-07T16:28:00Z</cp:lastPrinted>
  <dcterms:created xsi:type="dcterms:W3CDTF">2022-04-26T16:58:00Z</dcterms:created>
  <dcterms:modified xsi:type="dcterms:W3CDTF">2022-04-27T06:02:00Z</dcterms:modified>
</cp:coreProperties>
</file>